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rPr>
          <w:highlight w:val="yellow"/>
        </w:rPr>
        <w:t xml:space="preserve">When to lock a pivoting compression pad</w:t>
      </w:r>
    </w:p>
    <w:p>
      <w:pPr>
        <w:pStyle w:val="Heading1"/>
      </w:pPr>
      <w:r>
        <w:t>Abstract</w:t>
      </w:r>
    </w:p>
    <w:p>
      <w:r>
        <w:rPr>
          <w:highlight w:val="yellow"/>
        </w:rP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Endpoint force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pPr>
      <w:r>
        <w:t>Introduction</w:t>
      </w:r>
    </w:p>
    <w:p>
      <w:r>
        <w:rPr>
          <w:highlight w:val="yellow"/>
        </w:rP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r>
        <w:rPr>
          <w:highlight w:val="yellow"/>
        </w:rP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pStyle w:val="Heading1"/>
      </w:pPr>
      <w:r>
        <w:t>Method</w:t>
      </w:r>
    </w:p>
    <w:p>
      <w:r>
        <w:rPr>
          <w:highlight w:val="yellow"/>
        </w:rP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r>
        <w:rPr>
          <w:highlight w:val="yellow"/>
        </w:rP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r>
        <w:t xml:space="preserve">Force repeatability is calculated from the sample standard deviation </w:t>
      </w:r>
      <w:r>
        <w:rPr>
          <w:i/>
        </w:rPr>
        <w:t>s</w:t>
      </w:r>
      <w:r>
        <w:t xml:space="preserve"> and mean </w:t>
      </w:r>
      <w:r>
        <w:rPr>
          <w:i/>
        </w:rPr>
        <w:t>μ</w:t>
      </w:r>
      <w:r>
        <w:rPr>
          <w:highlight w:val="yellow"/>
        </w:rPr>
        <w:t xml:space="preserve"> of endpoint force after the 0.20 mm ramp across eight reseatings: </w:t>
      </w:r>
      <m:oMath>
        <m:r>
          <m:t>CV = 100 s / μ</m:t>
        </m:r>
      </m:oMath>
      <w:r>
        <w:t>. The value is reported in percent. It is not a measure of force accuracy.</w:t>
      </w:r>
    </w:p>
    <w:p>
      <w:r>
        <w:rPr>
          <w:highlight w:val="yellow"/>
        </w:rP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r>
        <w:rPr>
          <w:highlight w:val="yellow"/>
        </w:rP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rPr>
          <w:highlight w:val="yellow"/>
        </w:rPr>
        <w:t xml:space="preserve">. The pitch condition tests whether locking after seating can retain low force variation while limiting ramp drift. Flat and roll conditions test whether that choice is broadly useful.</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rPr>
          <w:highlight w:val="yellow"/>
        </w:rP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r>
        <w:rPr>
          <w:highlight w:val="yellow"/>
        </w:rP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r>
        <w:t>[Figure 1 placeholder]</w:t>
      </w:r>
    </w:p>
    <w:p>
      <w:r>
        <w:rPr>
          <w:highlight w:val="yellow"/>
        </w:rP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pPr>
      <w:r>
        <w:t>Conclusion</w:t>
      </w:r>
    </w:p>
    <w:p>
      <w:r>
        <w:rPr>
          <w:highlight w:val="yellow"/>
        </w:rP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