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sz w:val="18"/>
        </w:rPr>
        <w:t>CONSTRUCTED DEMO — NOT REAL RESEARCH RESULTS</w:t>
      </w:r>
    </w:p>
    <w:p>
      <w:pPr>
        <w:pStyle w:val="Title"/>
        <w:keepNext/>
      </w:pPr>
      <w:r>
        <w:t xml:space="preserve">When to lock a pivoting compression pad</w:t>
      </w:r>
    </w:p>
    <w:p>
      <w:pPr>
        <w:pStyle w:val="Heading1"/>
        <w:keepNext/>
      </w:pPr>
      <w:r>
        <w:t>Abstract</w:t>
      </w:r>
    </w:p>
    <w:p>
      <w:pPr>
        <w:keepNext w:val="0"/>
      </w:pPr>
      <w: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The endpoint force coefficient of variation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keepNext/>
      </w:pPr>
      <w:r>
        <w:t>Introduction</w:t>
      </w:r>
    </w:p>
    <w:p>
      <w:pPr>
        <w:keepNext w:val="0"/>
      </w:pPr>
      <w: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pPr>
        <w:keepNext w:val="0"/>
      </w:pPr>
      <w: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keepNext/>
      </w:pPr>
      <w:r>
        <w:drawing>
          <wp:inline xmlns:a="http://schemas.openxmlformats.org/drawingml/2006/main" xmlns:pic="http://schemas.openxmlformats.org/drawingml/2006/picture">
            <wp:extent cx="5760000" cy="3083636"/>
            <wp:docPr id="1" name="Picture 1"/>
            <wp:cNvGraphicFramePr>
              <a:graphicFrameLocks noChangeAspect="1"/>
            </wp:cNvGraphicFramePr>
            <a:graphic>
              <a:graphicData uri="http://schemas.openxmlformats.org/drawingml/2006/picture">
                <pic:pic>
                  <pic:nvPicPr>
                    <pic:cNvPr id="0" name="mechanism.png"/>
                    <pic:cNvPicPr/>
                  </pic:nvPicPr>
                  <pic:blipFill>
                    <a:blip r:embed="rId10">
                      <a:extLst>
                        <a:ext uri="{96DAC541-7B7A-43D3-8B79-37D633B846F1}">
                          <ns0:svgBlip xmlns:ns0="http://schemas.microsoft.com/office/drawing/2016/SVG/main" r:embed="rIdStorySVG1"/>
                        </a:ext>
                      </a:extLst>
                    </a:blip>
                    <a:stretch>
                      <a:fillRect/>
                    </a:stretch>
                  </pic:blipFill>
                  <pic:spPr>
                    <a:xfrm>
                      <a:off x="0" y="0"/>
                      <a:ext cx="5760000" cy="3083636"/>
                    </a:xfrm>
                    <a:prstGeom prst="rect"/>
                  </pic:spPr>
                </pic:pic>
              </a:graphicData>
            </a:graphic>
          </wp:inline>
        </w:drawing>
      </w:r>
    </w:p>
    <w:p>
      <w:pPr>
        <w:keepNext w:val="0"/>
        <w:keepLines/>
        <w:spacing w:after="160"/>
      </w:pPr>
      <w:r>
        <w:rPr>
          <w:sz w:val="18"/>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keepNext/>
        <w:pageBreakBefore/>
      </w:pPr>
      <w:r>
        <w:t>Method</w:t>
      </w:r>
    </w:p>
    <w:p>
      <w:pPr>
        <w:keepNext w:val="0"/>
      </w:pPr>
      <w: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pPr>
        <w:keepNext w:val="0"/>
      </w:pPr>
      <w: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pPr>
        <w:keepNext w:val="0"/>
      </w:pPr>
      <w:r>
        <w:t xml:space="preserve">Force repeatability is calculated from the sample standard deviation </w:t>
      </w:r>
      <w:r>
        <w:rPr>
          <w:i/>
        </w:rPr>
        <w:t>s</w:t>
      </w:r>
      <w:r>
        <w:t xml:space="preserve"> and mean </w:t>
      </w:r>
      <w:r>
        <w:rPr>
          <w:i/>
        </w:rPr>
        <w:t>μ</w:t>
      </w:r>
      <w:r>
        <w:t xml:space="preserve"> of endpoint force after the 0.20 mm ramp across eight reseatings: </w:t>
      </w:r>
      <m:oMath>
        <m:r>
          <m:t>CV = 100 s / μ</m:t>
        </m:r>
      </m:oMath>
      <w:r>
        <w:t>. The value is reported in percent. It is not a measure of force accuracy.</w:t>
      </w:r>
    </w:p>
    <w:p>
      <w:pPr>
        <w:keepNext w:val="0"/>
      </w:pPr>
      <w: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Next w:val="0"/>
      </w:pPr>
      <w: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pPr>
      <w:r>
        <w:t xml:space="preserve">Table </w:t>
      </w:r>
      <w:bookmarkStart w:id="12" w:name="TableOne"/>
      <w:r>
        <w:t>1</w:t>
      </w:r>
      <w:bookmarkEnd w:id="12"/>
      <w:r>
        <w:t>. Constructed repeated-mounting records.</w:t>
      </w:r>
    </w:p>
    <w:tbl>
      <w:tblPr>
        <w:tblStyle w:val="TableGrid"/>
        <w:tblW w:type="auto" w:w="0"/>
        <w:tblLayout w:type="fixed"/>
        <w:tblLook w:firstColumn="1" w:firstRow="1" w:lastColumn="0" w:lastRow="0" w:noHBand="0" w:noVBand="1" w:val="04A0"/>
      </w:tblPr>
      <w:tblGrid>
        <w:gridCol w:w="1757"/>
        <w:gridCol w:w="907"/>
        <w:gridCol w:w="1417"/>
        <w:gridCol w:w="1757"/>
        <w:gridCol w:w="1587"/>
        <w:gridCol w:w="1644"/>
      </w:tblGrid>
      <w:tr>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Condition</w:t>
            </w:r>
          </w:p>
        </w:tc>
        <w:tc>
          <w:tcPr>
            <w:tcW w:type="dxa" w:w="90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Mode</w:t>
            </w:r>
          </w:p>
        </w:tc>
        <w:tc>
          <w:tcPr>
            <w:tcW w:type="dxa" w:w="141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Reseatings</w:t>
            </w:r>
          </w:p>
        </w:tc>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Force CV (%)</w:t>
            </w:r>
          </w:p>
        </w:tc>
        <w:tc>
          <w:tcPr>
            <w:tcW w:type="dxa" w:w="158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Drift (µm)</w:t>
            </w:r>
          </w:p>
        </w:tc>
        <w:tc>
          <w:tcPr>
            <w:tcW w:type="dxa" w:w="1644"/>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Seating (s)</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90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31</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7.2</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2.1</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125</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2.3</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19</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32</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7.0</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6.8</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126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6.9</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20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32</w:t>
            </w:r>
          </w:p>
        </w:tc>
      </w:tr>
    </w:tbl>
    <w:p>
      <w:pPr>
        <w:pStyle w:val="Heading1"/>
        <w:keepNext/>
        <w:pageBreakBefore/>
      </w:pPr>
      <w:r>
        <w:t>Results</w:t>
      </w:r>
    </w:p>
    <w:p>
      <w:pPr>
        <w:keepNext w:val="0"/>
      </w:pPr>
      <w:r>
        <w:t xml:space="preserve">All records are listed in Table </w:t>
      </w:r>
      <w:r>
        <w:fldChar w:fldCharType="begin"/>
      </w:r>
      <w:r>
        <w:instrText> REF TableOne \h </w:instrText>
      </w:r>
      <w:r>
        <w:fldChar w:fldCharType="separate"/>
      </w:r>
      <w:r>
        <w:t>1</w:t>
      </w:r>
      <w:r>
        <w:fldChar w:fldCharType="end"/>
      </w:r>
      <w:r>
        <w:t xml:space="preserve">. The pitch condition tests whether locking after seating can retain low force variation while limiting ramp drift. Flat and roll conditions test whether that choice is broadly useful.</w:t>
      </w:r>
    </w:p>
    <w:p>
      <w:pPr>
        <w:keepNext/>
      </w:pPr>
      <w:r>
        <w:drawing>
          <wp:inline xmlns:a="http://schemas.openxmlformats.org/drawingml/2006/main" xmlns:pic="http://schemas.openxmlformats.org/drawingml/2006/picture">
            <wp:extent cx="5760000" cy="2564155"/>
            <wp:docPr id="2" name="Picture 2"/>
            <wp:cNvGraphicFramePr>
              <a:graphicFrameLocks noChangeAspect="1"/>
            </wp:cNvGraphicFramePr>
            <a:graphic>
              <a:graphicData uri="http://schemas.openxmlformats.org/drawingml/2006/picture">
                <pic:pic>
                  <pic:nvPicPr>
                    <pic:cNvPr id="0" name="results.png"/>
                    <pic:cNvPicPr/>
                  </pic:nvPicPr>
                  <pic:blipFill>
                    <a:blip r:embed="rId11">
                      <a:extLst>
                        <a:ext uri="{96DAC541-7B7A-43D3-8B79-37D633B846F1}">
                          <ns1:svgBlip xmlns:ns1="http://schemas.microsoft.com/office/drawing/2016/SVG/main" r:embed="rIdStorySVG2"/>
                        </a:ext>
                      </a:extLst>
                    </a:blip>
                    <a:stretch>
                      <a:fillRect/>
                    </a:stretch>
                  </pic:blipFill>
                  <pic:spPr>
                    <a:xfrm>
                      <a:off x="0" y="0"/>
                      <a:ext cx="5760000" cy="2564155"/>
                    </a:xfrm>
                    <a:prstGeom prst="rect"/>
                  </pic:spPr>
                </pic:pic>
              </a:graphicData>
            </a:graphic>
          </wp:inline>
        </w:drawing>
      </w:r>
    </w:p>
    <w:p>
      <w:pPr>
        <w:keepLines/>
        <w:spacing w:after="160"/>
      </w:pPr>
      <w:r>
        <w:rPr>
          <w:sz w:val="18"/>
        </w:rPr>
        <w:t>Figure 2. Complete constructed comparison. Squares, circles and triangles denote E, F and L. Each row group is one coupon condition; horizontal position gives the metric and vertical offsets only separate modes. All nine records and all three metrics are shown. Each record summarizes eight reseatings of one coupon, not eight independent specimens. No uncertainty intervals are available; exact values are in Table 1.</w:t>
      </w:r>
    </w:p>
    <w:p>
      <w:pPr>
        <w:keepNext w:val="0"/>
      </w:pPr>
      <w: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pPr>
        <w:keepNext w:val="0"/>
      </w:pPr>
      <w: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pPr>
        <w:pStyle w:val="Heading1"/>
        <w:keepNext/>
      </w:pPr>
      <w:r>
        <w:t>Conclusion</w:t>
      </w:r>
    </w:p>
    <w:p>
      <w:pPr>
        <w:keepNext w:val="0"/>
      </w:pPr>
      <w: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keepNext/>
      </w:pPr>
      <w:r>
        <w:t>Sources</w:t>
      </w:r>
    </w:p>
    <w:p>
      <w:pPr>
        <w:keepNext w:val="0"/>
      </w:pPr>
      <w:r>
        <w:t xml:space="preserve">[1] Teaching implementation notes and mode definitions. [2] </w:t>
      </w:r>
      <w:hyperlink r:id="rId9">
        <w:r>
          <w:t>Constructed records</w:t>
        </w:r>
      </w:hyperlink>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11" Type="http://schemas.openxmlformats.org/officeDocument/2006/relationships/image" Target="media/image2.png"/><Relationship Id="rIdStorySVG1" Type="http://schemas.openxmlformats.org/officeDocument/2006/relationships/image" Target="media/story1.svg"/><Relationship Id="rIdStorySVG2" Type="http://schemas.openxmlformats.org/officeDocument/2006/relationships/image" Target="media/story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