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stones are taken away from the mountains and rivers of their homeland, can we still feel their souls? My work explores a sense of sacred balance through color, texture, form, and rhythm.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Turquoise, jade, Southern red agate, Alxa sugar-heart agate, moss agate, silver, raw stones, carving, and weaving become the language of this exploration.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of my pieces are inspired by Buddhist elements.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远离它们诞生的山脉与河流的家乡，我们是否还能感受到它们的灵魂？</w:t>
        <w:br w:type="textWrapping"/>
        <w:br w:type="textWrapping"/>
        <w:t xml:space="preserve">我的作品在挖掘一种神圣的平衡，</w:t>
        <w:br w:type="textWrapping"/>
        <w:t xml:space="preserve">颜色、质感、形状与节奏。</w:t>
        <w:br w:type="textWrapping"/>
        <w:br w:type="textWrapping"/>
        <w:t xml:space="preserve">绿松石、翡翠、南红玛瑙、阿拉善糖心玛瑙、水草玛瑙、银器、原石与雕刻工艺，</w:t>
        <w:br w:type="textWrapping"/>
        <w:t xml:space="preserve">成为我表达这种平衡的语言。</w:t>
        <w:br w:type="textWrapping"/>
        <w:br w:type="textWrapping"/>
        <w:t xml:space="preserve">我的一些作品受到佛教元素的启发。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