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696D3F">
      <w:pPr>
        <w:pStyle w:val="139"/>
        <w:pBdr>
          <w:top w:val="none" w:color="000000" w:sz="4" w:space="0"/>
          <w:left w:val="none" w:color="000000" w:sz="4" w:space="0"/>
          <w:bottom w:val="none" w:color="000000" w:sz="4" w:space="0"/>
          <w:right w:val="none" w:color="000000" w:sz="4" w:space="0"/>
        </w:pBdr>
        <w:shd w:val="clear" w:color="ffffff" w:fill="ffffff"/>
        <w:spacing w:after="0" w:before="0" w:line="736" w:lineRule="atLeast"/>
        <w:ind w:right="0" w:firstLine="0" w:left="0"/>
        <w:rPr/>
      </w:pPr>
      <w:r>
        <w:rPr>
          <w:rFonts w:ascii="Open Sans" w:hAnsi="Open Sans" w:eastAsia="Open Sans" w:cs="Open Sans"/>
          <w:b/>
          <w:color w:val="555555"/>
          <w:sz w:val="51"/>
        </w:rPr>
        <w:t xml:space="preserve">PRACT-EXP Implementar un sistema de autenticación Stateless, integrando un flujo de JWT con Refresh Tokens, asegurando la integridad de la identidad entre múltiples microservicios.</w:t>
      </w:r>
      <w:r/>
    </w:p>
    <w:p w14:paraId="202473AC">
      <w:pPr>
        <w:pBdr>
          <w:top w:val="none" w:color="000000" w:sz="4" w:space="0"/>
          <w:left w:val="none" w:color="000000" w:sz="4" w:space="0"/>
          <w:bottom w:val="none" w:color="000000" w:sz="4" w:space="0"/>
          <w:right w:val="none" w:color="000000" w:sz="4" w:space="0"/>
        </w:pBdr>
        <w:shd w:val="clear" w:color="ffffff" w:fill="ffffff"/>
        <w:spacing w:after="0"/>
        <w:ind w:right="225" w:firstLine="0" w:left="225"/>
        <w:rPr/>
      </w:pPr>
      <w:r>
        <w:rPr>
          <w:rFonts w:ascii="Open Sans" w:hAnsi="Open Sans" w:eastAsia="Open Sans" w:cs="Open Sans"/>
          <w:color w:val="555555"/>
          <w:sz w:val="21"/>
        </w:rPr>
        <w:t xml:space="preserve">Requisitos de finalización</w:t>
      </w:r>
      <w:r/>
    </w:p>
    <w:p w14:paraId="6BEAB3A3">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Open Sans" w:hAnsi="Open Sans" w:eastAsia="Open Sans" w:cs="Open Sans"/>
          <w:b/>
          <w:color w:val="555555"/>
          <w:sz w:val="21"/>
        </w:rPr>
        <w:t xml:space="preserve">Apertura:</w:t>
      </w:r>
      <w:r>
        <w:rPr>
          <w:rFonts w:ascii="Open Sans" w:hAnsi="Open Sans" w:eastAsia="Open Sans" w:cs="Open Sans"/>
          <w:color w:val="555555"/>
          <w:sz w:val="21"/>
        </w:rPr>
        <w:t xml:space="preserve"> lunes, 15 de junio de 2026, 00:00</w:t>
      </w:r>
      <w:r/>
    </w:p>
    <w:p w14:paraId="7F673369">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Open Sans" w:hAnsi="Open Sans" w:eastAsia="Open Sans" w:cs="Open Sans"/>
          <w:b/>
          <w:color w:val="555555"/>
          <w:sz w:val="21"/>
        </w:rPr>
        <w:t xml:space="preserve">Cierre:</w:t>
      </w:r>
      <w:r>
        <w:rPr>
          <w:rFonts w:ascii="Open Sans" w:hAnsi="Open Sans" w:eastAsia="Open Sans" w:cs="Open Sans"/>
          <w:color w:val="555555"/>
          <w:sz w:val="21"/>
        </w:rPr>
        <w:t xml:space="preserve"> jueves, 18 de junio de 2026, 23:00</w:t>
      </w:r>
      <w:r/>
    </w:p>
    <w:p w14:paraId="5D78AE93">
      <w:pPr>
        <w:pStyle w:val="140"/>
        <w:pBdr>
          <w:top w:val="none" w:color="000000" w:sz="4" w:space="0"/>
          <w:left w:val="none" w:color="000000" w:sz="4" w:space="0"/>
          <w:bottom w:val="none" w:color="000000" w:sz="4" w:space="0"/>
          <w:right w:val="none" w:color="000000" w:sz="4" w:space="0"/>
        </w:pBdr>
        <w:shd w:val="clear" w:color="1b4d3e" w:fill="1b4d3e"/>
        <w:spacing w:after="0" w:before="0" w:line="736" w:lineRule="atLeast"/>
        <w:ind w:right="0" w:firstLine="0" w:left="0"/>
        <w:rPr/>
      </w:pPr>
      <w:r>
        <w:rPr>
          <w:rFonts w:ascii="Open Sans" w:hAnsi="Open Sans" w:eastAsia="Open Sans" w:cs="Open Sans"/>
          <w:b/>
          <w:color w:val="ffffff"/>
          <w:spacing w:val="7"/>
          <w:sz w:val="36"/>
        </w:rPr>
        <w:t xml:space="preserve">Práctica Calificada: Autenticación Stateless y Simulación de Microservicios con JWT</w:t>
      </w:r>
      <w:r/>
    </w:p>
    <w:p w14:paraId="37CDDB2B">
      <w:pPr>
        <w:pBdr>
          <w:top w:val="none" w:color="000000" w:sz="4" w:space="0"/>
          <w:left w:val="none" w:color="000000" w:sz="4" w:space="0"/>
          <w:bottom w:val="none" w:color="000000" w:sz="4" w:space="0"/>
          <w:right w:val="none" w:color="000000" w:sz="4" w:space="0"/>
        </w:pBdr>
        <w:shd w:val="clear" w:color="1b4d3e" w:fill="1b4d3e"/>
        <w:spacing w:after="0" w:before="150" w:line="382" w:lineRule="atLeast"/>
        <w:ind w:right="0" w:firstLine="0" w:left="0"/>
        <w:rPr/>
      </w:pPr>
      <w:r>
        <w:rPr>
          <w:rFonts w:ascii="Arial" w:hAnsi="Arial" w:eastAsia="Arial" w:cs="Arial"/>
          <w:color w:val="e0eae6"/>
          <w:sz w:val="23"/>
        </w:rPr>
        <w:t xml:space="preserve">Departamento de Ciencias de la Computación | Arquitectura de Seguridad Avanzada</w:t>
      </w:r>
      <w:r/>
    </w:p>
    <w:p w14:paraId="3C9AB3AC">
      <w:pPr>
        <w:pBdr>
          <w:top w:val="none" w:color="000000" w:sz="4" w:space="0"/>
          <w:left w:val="none" w:color="000000" w:sz="4" w:space="0"/>
          <w:bottom w:val="none" w:color="000000" w:sz="4" w:space="0"/>
          <w:right w:val="none" w:color="000000" w:sz="4" w:space="0"/>
        </w:pBdr>
        <w:shd w:val="clear" w:color="ffffff" w:fill="ffffff"/>
        <w:spacing w:after="239" w:before="0" w:line="382" w:lineRule="atLeast"/>
        <w:ind w:right="0" w:firstLine="0" w:left="0"/>
        <w:jc w:val="both"/>
        <w:rPr/>
      </w:pPr>
      <w:r>
        <w:rPr>
          <w:rFonts w:ascii="Arial" w:hAnsi="Arial" w:eastAsia="Arial" w:cs="Arial"/>
          <w:b/>
          <w:color w:val="2f3e46"/>
          <w:sz w:val="23"/>
        </w:rPr>
        <w:t xml:space="preserve">Descripción:</w:t>
      </w:r>
      <w:r>
        <w:rPr>
          <w:rFonts w:ascii="Arial" w:hAnsi="Arial" w:eastAsia="Arial" w:cs="Arial"/>
          <w:color w:val="2f3e46"/>
          <w:sz w:val="23"/>
        </w:rPr>
        <w:t xml:space="preserve"> En esta práctica aplicarás los conceptos abordados en clase sobre autenticación basada en tokens (Stateless) frente al modelo tradicional de sesiones de usuario persistidas en la memoria del servidor. Desarrollarás un sistema desacoplado utilizando Node.j</w:t>
      </w:r>
      <w:r>
        <w:rPr>
          <w:rFonts w:ascii="Arial" w:hAnsi="Arial" w:eastAsia="Arial" w:cs="Arial"/>
          <w:color w:val="2f3e46"/>
          <w:sz w:val="23"/>
        </w:rPr>
        <w:t xml:space="preserve">s y Express, donde simularás un entorno distribuido: un componente centralizado actuará como el servidor de identidad encargado de firmar tokens mediante criptografía asimétrica (llave privada), mientras que múltiples servicios independientes verificarán l</w:t>
      </w:r>
      <w:r>
        <w:rPr>
          <w:rFonts w:ascii="Arial" w:hAnsi="Arial" w:eastAsia="Arial" w:cs="Arial"/>
          <w:color w:val="2f3e46"/>
          <w:sz w:val="23"/>
        </w:rPr>
        <w:t xml:space="preserve">a autenticidad del token de manera autónoma utilizando únicamente la llave pública, evitando consultas redundantes hacia el almacenamiento centralizado.</w:t>
      </w:r>
      <w:r/>
    </w:p>
    <w:p w14:paraId="182A1726">
      <w:pPr>
        <w:pStyle w:val="141"/>
        <w:pBdr>
          <w:top w:val="none" w:color="000000" w:sz="4" w:space="0"/>
          <w:left w:val="none" w:color="000000" w:sz="4" w:space="0"/>
          <w:bottom w:val="single" w:color="c5a059" w:sz="12" w:space="0"/>
          <w:right w:val="none" w:color="000000" w:sz="4" w:space="0"/>
        </w:pBdr>
        <w:shd w:val="clear" w:color="ffffff" w:fill="ffffff"/>
        <w:spacing w:after="120" w:before="450" w:line="736" w:lineRule="atLeast"/>
        <w:ind w:right="0" w:firstLine="0" w:left="0"/>
        <w:rPr/>
      </w:pPr>
      <w:r>
        <w:rPr>
          <w:rFonts w:ascii="Open Sans" w:hAnsi="Open Sans" w:eastAsia="Open Sans" w:cs="Open Sans"/>
          <w:b/>
          <w:color w:val="1b4d3e"/>
          <w:sz w:val="27"/>
        </w:rPr>
        <w:t xml:space="preserve">Objetivos de Aprendizaje</w:t>
      </w:r>
      <w:r/>
    </w:p>
    <w:p w14:paraId="15414063">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120" w:line="357" w:lineRule="atLeast"/>
        <w:ind w:right="0"/>
        <w:rPr/>
      </w:pPr>
      <w:r>
        <w:rPr>
          <w:rFonts w:ascii="Arial" w:hAnsi="Arial" w:eastAsia="Arial" w:cs="Arial"/>
          <w:color w:val="2f3e46"/>
          <w:sz w:val="21"/>
        </w:rPr>
        <w:t xml:space="preserve">Diseñar una arquitectura de software orientada a la seguridad siguiendo el Principio de Responsabilidad Única (SRP) de SOLID.</w:t>
      </w:r>
      <w:r/>
    </w:p>
    <w:p w14:paraId="7CC218FA">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120" w:line="357" w:lineRule="atLeast"/>
        <w:ind w:right="0"/>
        <w:rPr/>
      </w:pPr>
      <w:r>
        <w:rPr>
          <w:rFonts w:ascii="Arial" w:hAnsi="Arial" w:eastAsia="Arial" w:cs="Arial"/>
          <w:color w:val="2f3e46"/>
          <w:sz w:val="21"/>
        </w:rPr>
        <w:t xml:space="preserve">Implementar el flujo de firmado y verificación de JSON Web Tokens utilizando algoritmos simétricos (HS256) y asimétricos (RS256).</w:t>
      </w:r>
      <w:r/>
    </w:p>
    <w:p w14:paraId="0E1659CC">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120" w:line="357" w:lineRule="atLeast"/>
        <w:ind w:right="0"/>
        <w:rPr/>
      </w:pPr>
      <w:r>
        <w:rPr>
          <w:rFonts w:ascii="Arial" w:hAnsi="Arial" w:eastAsia="Arial" w:cs="Arial"/>
          <w:color w:val="2f3e46"/>
          <w:sz w:val="21"/>
        </w:rPr>
        <w:t xml:space="preserve">Comprender los vectores de transferencia y almacenamiento seguro de identidades digitales en arquitecturas de microservicios.</w:t>
      </w:r>
      <w:r/>
    </w:p>
    <w:p w14:paraId="0D5D09FF">
      <w:pPr>
        <w:pStyle w:val="141"/>
        <w:pBdr>
          <w:top w:val="none" w:color="000000" w:sz="4" w:space="0"/>
          <w:left w:val="none" w:color="000000" w:sz="4" w:space="0"/>
          <w:bottom w:val="single" w:color="c5a059" w:sz="12" w:space="0"/>
          <w:right w:val="none" w:color="000000" w:sz="4" w:space="0"/>
        </w:pBdr>
        <w:shd w:val="clear" w:color="ffffff" w:fill="ffffff"/>
        <w:spacing w:after="120" w:before="525" w:line="736" w:lineRule="atLeast"/>
        <w:ind w:right="0" w:firstLine="0" w:left="0"/>
        <w:rPr/>
      </w:pPr>
      <w:r>
        <w:rPr>
          <w:rFonts w:ascii="Open Sans" w:hAnsi="Open Sans" w:eastAsia="Open Sans" w:cs="Open Sans"/>
          <w:b/>
          <w:color w:val="1b4d3e"/>
          <w:sz w:val="27"/>
        </w:rPr>
        <w:t xml:space="preserve">Instrucciones de la Actividad</w:t>
      </w:r>
      <w:r/>
    </w:p>
    <w:p w14:paraId="23055140">
      <w:pPr>
        <w:pStyle w:val="142"/>
        <w:pBdr>
          <w:top w:val="none" w:color="000000" w:sz="4" w:space="0"/>
          <w:left w:val="none" w:color="000000" w:sz="4" w:space="0"/>
          <w:bottom w:val="none" w:color="000000" w:sz="4" w:space="0"/>
          <w:right w:val="none" w:color="000000" w:sz="4" w:space="0"/>
        </w:pBdr>
        <w:shd w:val="clear" w:color="ffffff" w:fill="ffffff"/>
        <w:spacing w:after="75" w:before="0" w:line="588" w:lineRule="atLeast"/>
        <w:ind w:right="0" w:firstLine="0" w:left="0"/>
        <w:rPr/>
      </w:pPr>
      <w:r>
        <w:rPr>
          <w:rFonts w:ascii="Open Sans" w:hAnsi="Open Sans" w:eastAsia="Open Sans" w:cs="Open Sans"/>
          <w:b/>
          <w:color w:val="1b4d3e"/>
          <w:sz w:val="24"/>
        </w:rPr>
        <w:t xml:space="preserve">Paso 1: Inicialización y Par de Llaves Criptográficas</w:t>
      </w:r>
      <w:r/>
    </w:p>
    <w:p w14:paraId="34443A34">
      <w:pPr>
        <w:pBdr>
          <w:top w:val="none" w:color="000000" w:sz="4" w:space="0"/>
          <w:left w:val="none" w:color="000000" w:sz="4" w:space="0"/>
          <w:bottom w:val="none" w:color="000000" w:sz="4" w:space="0"/>
          <w:right w:val="none" w:color="000000" w:sz="4" w:space="0"/>
        </w:pBdr>
        <w:shd w:val="clear" w:color="ffffff" w:fill="ffffff"/>
        <w:spacing w:after="239" w:before="0" w:line="369" w:lineRule="atLeast"/>
        <w:ind w:right="0" w:firstLine="0" w:left="0"/>
        <w:jc w:val="both"/>
        <w:rPr/>
      </w:pPr>
      <w:r>
        <w:rPr>
          <w:rFonts w:ascii="Arial" w:hAnsi="Arial" w:eastAsia="Arial" w:cs="Arial"/>
          <w:color w:val="2f3e46"/>
          <w:sz w:val="22"/>
        </w:rPr>
        <w:t xml:space="preserve">Utiliza el andamiaje estructurado generado en tu directorio local. Como primera acción, ejecuta el script localizado en </w:t>
      </w:r>
      <w:r>
        <w:rPr>
          <w:rFonts w:ascii="Arial" w:hAnsi="Arial" w:eastAsia="Arial" w:cs="Arial"/>
          <w:color w:val="d63384"/>
          <w:sz w:val="24"/>
        </w:rPr>
        <w:t xml:space="preserve">keypair.sh</w:t>
      </w:r>
      <w:r>
        <w:rPr>
          <w:rFonts w:ascii="Arial" w:hAnsi="Arial" w:eastAsia="Arial" w:cs="Arial"/>
          <w:color w:val="2f3e46"/>
          <w:sz w:val="22"/>
        </w:rPr>
        <w:t xml:space="preserve"> mediante tu terminal para invocar a OpenSSL. Esto generará automáticamente los archivos de almacenamiento de llaves criptográficas utilizando el formato estándar PKCS#8 (</w:t>
      </w:r>
      <w:r>
        <w:rPr>
          <w:rFonts w:ascii="Arial" w:hAnsi="Arial" w:eastAsia="Arial" w:cs="Arial"/>
          <w:color w:val="d63384"/>
          <w:sz w:val="24"/>
        </w:rPr>
        <w:t xml:space="preserve">private.pem</w:t>
      </w:r>
      <w:r>
        <w:rPr>
          <w:rFonts w:ascii="Arial" w:hAnsi="Arial" w:eastAsia="Arial" w:cs="Arial"/>
          <w:color w:val="2f3e46"/>
          <w:sz w:val="22"/>
        </w:rPr>
        <w:t xml:space="preserve"> y </w:t>
      </w:r>
      <w:r>
        <w:rPr>
          <w:rFonts w:ascii="Arial" w:hAnsi="Arial" w:eastAsia="Arial" w:cs="Arial"/>
          <w:color w:val="d63384"/>
          <w:sz w:val="24"/>
        </w:rPr>
        <w:t xml:space="preserve">public.pem</w:t>
      </w:r>
      <w:r>
        <w:rPr>
          <w:rFonts w:ascii="Arial" w:hAnsi="Arial" w:eastAsia="Arial" w:cs="Arial"/>
          <w:color w:val="2f3e46"/>
          <w:sz w:val="22"/>
        </w:rPr>
        <w:t xml:space="preserve">). Configura tu archivo de entorno local </w:t>
      </w:r>
      <w:r>
        <w:rPr>
          <w:rFonts w:ascii="Arial" w:hAnsi="Arial" w:eastAsia="Arial" w:cs="Arial"/>
          <w:color w:val="d63384"/>
          <w:sz w:val="24"/>
        </w:rPr>
        <w:t xml:space="preserve">.env</w:t>
      </w:r>
      <w:r>
        <w:rPr>
          <w:rFonts w:ascii="Arial" w:hAnsi="Arial" w:eastAsia="Arial" w:cs="Arial"/>
          <w:color w:val="2f3e46"/>
          <w:sz w:val="22"/>
        </w:rPr>
        <w:t xml:space="preserve"> apuntando a las rutas correspondientes; recuerda que por seguridad, este archivo jamás debe ser incluido en tus confirmaciones de Git.</w:t>
      </w:r>
      <w:r/>
    </w:p>
    <w:p w14:paraId="45252CA4">
      <w:pPr>
        <w:pStyle w:val="142"/>
        <w:pBdr>
          <w:top w:val="none" w:color="000000" w:sz="4" w:space="0"/>
          <w:left w:val="none" w:color="000000" w:sz="4" w:space="0"/>
          <w:bottom w:val="none" w:color="000000" w:sz="4" w:space="0"/>
          <w:right w:val="none" w:color="000000" w:sz="4" w:space="0"/>
        </w:pBdr>
        <w:shd w:val="clear" w:color="ffffff" w:fill="ffffff"/>
        <w:spacing w:after="75" w:before="0" w:line="588" w:lineRule="atLeast"/>
        <w:ind w:right="0" w:firstLine="0" w:left="0"/>
        <w:rPr/>
      </w:pPr>
      <w:r>
        <w:rPr>
          <w:rFonts w:ascii="Open Sans" w:hAnsi="Open Sans" w:eastAsia="Open Sans" w:cs="Open Sans"/>
          <w:b/>
          <w:color w:val="1b4d3e"/>
          <w:sz w:val="24"/>
        </w:rPr>
        <w:t xml:space="preserve">Paso 2: Capa de Servicios Criptográficos (JWT Service)</w:t>
      </w:r>
      <w:r/>
    </w:p>
    <w:p w14:paraId="6B203E34">
      <w:pPr>
        <w:pBdr>
          <w:top w:val="none" w:color="000000" w:sz="4" w:space="0"/>
          <w:left w:val="none" w:color="000000" w:sz="4" w:space="0"/>
          <w:bottom w:val="none" w:color="000000" w:sz="4" w:space="0"/>
          <w:right w:val="none" w:color="000000" w:sz="4" w:space="0"/>
        </w:pBdr>
        <w:shd w:val="clear" w:color="ffffff" w:fill="ffffff"/>
        <w:spacing w:after="239" w:before="0" w:line="369" w:lineRule="atLeast"/>
        <w:ind w:right="0" w:firstLine="0" w:left="0"/>
        <w:jc w:val="both"/>
        <w:rPr/>
      </w:pPr>
      <w:r>
        <w:rPr>
          <w:rFonts w:ascii="Arial" w:hAnsi="Arial" w:eastAsia="Arial" w:cs="Arial"/>
          <w:color w:val="2f3e46"/>
          <w:sz w:val="22"/>
        </w:rPr>
        <w:t xml:space="preserve">Dirígete al archivo </w:t>
      </w:r>
      <w:r>
        <w:rPr>
          <w:rFonts w:ascii="Arial" w:hAnsi="Arial" w:eastAsia="Arial" w:cs="Arial"/>
          <w:color w:val="d63384"/>
          <w:sz w:val="24"/>
        </w:rPr>
        <w:t xml:space="preserve">services/jwt.service.js</w:t>
      </w:r>
      <w:r>
        <w:rPr>
          <w:rFonts w:ascii="Arial" w:hAnsi="Arial" w:eastAsia="Arial" w:cs="Arial"/>
          <w:color w:val="2f3e46"/>
          <w:sz w:val="22"/>
        </w:rPr>
        <w:t xml:space="preserve"> e implementa la lógica interna de las funciones criptográficas fundamentales revisadas en clase:</w:t>
      </w:r>
      <w:r/>
    </w:p>
    <w:p w14:paraId="3161B43E">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b/>
          <w:color w:val="2f3e46"/>
          <w:sz w:val="22"/>
        </w:rPr>
        <w:t xml:space="preserve">signToken(user):</w:t>
      </w:r>
      <w:r>
        <w:rPr>
          <w:rFonts w:ascii="Arial" w:hAnsi="Arial" w:eastAsia="Arial" w:cs="Arial"/>
          <w:color w:val="2f3e46"/>
          <w:sz w:val="22"/>
        </w:rPr>
        <w:t xml:space="preserve"> Debe estructurar un Payload compacto que contenga estrictamente los claims estándares definidos: </w:t>
      </w:r>
      <w:r>
        <w:rPr>
          <w:rFonts w:ascii="Arial" w:hAnsi="Arial" w:eastAsia="Arial" w:cs="Arial"/>
          <w:color w:val="d63384"/>
          <w:sz w:val="24"/>
        </w:rPr>
        <w:t xml:space="preserve">sub</w:t>
      </w:r>
      <w:r>
        <w:rPr>
          <w:rFonts w:ascii="Arial" w:hAnsi="Arial" w:eastAsia="Arial" w:cs="Arial"/>
          <w:color w:val="2f3e46"/>
          <w:sz w:val="22"/>
        </w:rPr>
        <w:t xml:space="preserve"> (mapeado al ID único del usuario), </w:t>
      </w:r>
      <w:r>
        <w:rPr>
          <w:rFonts w:ascii="Arial" w:hAnsi="Arial" w:eastAsia="Arial" w:cs="Arial"/>
          <w:color w:val="d63384"/>
          <w:sz w:val="24"/>
        </w:rPr>
        <w:t xml:space="preserve">name</w:t>
      </w:r>
      <w:r>
        <w:rPr>
          <w:rFonts w:ascii="Arial" w:hAnsi="Arial" w:eastAsia="Arial" w:cs="Arial"/>
          <w:color w:val="2f3e46"/>
          <w:sz w:val="22"/>
        </w:rPr>
        <w:t xml:space="preserve"> (nombre completo del perfil) y </w:t>
      </w:r>
      <w:r>
        <w:rPr>
          <w:rFonts w:ascii="Arial" w:hAnsi="Arial" w:eastAsia="Arial" w:cs="Arial"/>
          <w:color w:val="d63384"/>
          <w:sz w:val="24"/>
        </w:rPr>
        <w:t xml:space="preserve">exp</w:t>
      </w:r>
      <w:r>
        <w:rPr>
          <w:rFonts w:ascii="Arial" w:hAnsi="Arial" w:eastAsia="Arial" w:cs="Arial"/>
          <w:color w:val="2f3e46"/>
          <w:sz w:val="22"/>
        </w:rPr>
        <w:t xml:space="preserve"> (una marca de tiempo configurada exactamente para un minuto en el futuro). Si detecta la ruta de la llave privada, deberá firmar el token utilizando el algoritmo asimétrico </w:t>
      </w:r>
      <w:r>
        <w:rPr>
          <w:rFonts w:ascii="Arial" w:hAnsi="Arial" w:eastAsia="Arial" w:cs="Arial"/>
          <w:b/>
          <w:color w:val="2f3e46"/>
          <w:sz w:val="22"/>
        </w:rPr>
        <w:t xml:space="preserve">RS256</w:t>
      </w:r>
      <w:r>
        <w:rPr>
          <w:rFonts w:ascii="Arial" w:hAnsi="Arial" w:eastAsia="Arial" w:cs="Arial"/>
          <w:color w:val="2f3e46"/>
          <w:sz w:val="22"/>
        </w:rPr>
        <w:t xml:space="preserve">.</w:t>
      </w:r>
      <w:r/>
    </w:p>
    <w:p w14:paraId="0B6A71A2">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b/>
          <w:color w:val="2f3e46"/>
          <w:sz w:val="22"/>
        </w:rPr>
        <w:t xml:space="preserve">verifyToken(token):</w:t>
      </w:r>
      <w:r>
        <w:rPr>
          <w:rFonts w:ascii="Arial" w:hAnsi="Arial" w:eastAsia="Arial" w:cs="Arial"/>
          <w:color w:val="2f3e46"/>
          <w:sz w:val="22"/>
        </w:rPr>
        <w:t xml:space="preserve"> Debe implementar el método de verificación oficial de la librería. Si la configuración del sistema provee la ruta de la llave pública, realizará la validación de la firma de manera asimétrica para confirmar su legitimidad.</w:t>
      </w:r>
      <w:r/>
    </w:p>
    <w:p w14:paraId="11D41F57">
      <w:pPr>
        <w:pStyle w:val="142"/>
        <w:pBdr>
          <w:top w:val="none" w:color="000000" w:sz="4" w:space="0"/>
          <w:left w:val="none" w:color="000000" w:sz="4" w:space="0"/>
          <w:bottom w:val="none" w:color="000000" w:sz="4" w:space="0"/>
          <w:right w:val="none" w:color="000000" w:sz="4" w:space="0"/>
        </w:pBdr>
        <w:shd w:val="clear" w:color="ffffff" w:fill="ffffff"/>
        <w:spacing w:after="75" w:before="0" w:line="588" w:lineRule="atLeast"/>
        <w:ind w:right="0" w:firstLine="0" w:left="0"/>
        <w:rPr/>
      </w:pPr>
      <w:r>
        <w:rPr>
          <w:rFonts w:ascii="Open Sans" w:hAnsi="Open Sans" w:eastAsia="Open Sans" w:cs="Open Sans"/>
          <w:b/>
          <w:color w:val="1b4d3e"/>
          <w:sz w:val="24"/>
        </w:rPr>
        <w:t xml:space="preserve">Paso 3: Middleware de Autenticación y Simulación de Microservicios</w:t>
      </w:r>
      <w:r/>
    </w:p>
    <w:p w14:paraId="594F9287">
      <w:pPr>
        <w:pBdr>
          <w:top w:val="none" w:color="000000" w:sz="4" w:space="0"/>
          <w:left w:val="none" w:color="000000" w:sz="4" w:space="0"/>
          <w:bottom w:val="none" w:color="000000" w:sz="4" w:space="0"/>
          <w:right w:val="none" w:color="000000" w:sz="4" w:space="0"/>
        </w:pBdr>
        <w:shd w:val="clear" w:color="ffffff" w:fill="ffffff"/>
        <w:spacing w:after="239" w:before="0" w:line="369" w:lineRule="atLeast"/>
        <w:ind w:right="0" w:firstLine="0" w:left="0"/>
        <w:jc w:val="both"/>
        <w:rPr/>
      </w:pPr>
      <w:r>
        <w:rPr>
          <w:rFonts w:ascii="Arial" w:hAnsi="Arial" w:eastAsia="Arial" w:cs="Arial"/>
          <w:color w:val="2f3e46"/>
          <w:sz w:val="22"/>
        </w:rPr>
        <w:t xml:space="preserve">Desarrolla la lógica del middleware en </w:t>
      </w:r>
      <w:r>
        <w:rPr>
          <w:rFonts w:ascii="Arial" w:hAnsi="Arial" w:eastAsia="Arial" w:cs="Arial"/>
          <w:color w:val="d63384"/>
          <w:sz w:val="24"/>
        </w:rPr>
        <w:t xml:space="preserve">middlewares/auth.middleware.js</w:t>
      </w:r>
      <w:r>
        <w:rPr>
          <w:rFonts w:ascii="Arial" w:hAnsi="Arial" w:eastAsia="Arial" w:cs="Arial"/>
          <w:color w:val="2f3e46"/>
          <w:sz w:val="22"/>
        </w:rPr>
        <w:t xml:space="preserve"> para interceptar las peticiones dirigidas a </w:t>
      </w:r>
      <w:hyperlink r:id="rId9" w:tooltip="Recursos" w:history="1">
        <w:r>
          <w:rPr>
            <w:rStyle w:val="187"/>
            <w:rFonts w:ascii="Arial" w:hAnsi="Arial" w:eastAsia="Arial" w:cs="Arial"/>
            <w:color w:val="eba600"/>
            <w:sz w:val="22"/>
            <w:u w:val="none"/>
          </w:rPr>
          <w:t xml:space="preserve">recursos</w:t>
        </w:r>
      </w:hyperlink>
      <w:r>
        <w:rPr>
          <w:rFonts w:ascii="Arial" w:hAnsi="Arial" w:eastAsia="Arial" w:cs="Arial"/>
          <w:color w:val="2f3e46"/>
          <w:sz w:val="22"/>
        </w:rPr>
        <w:t xml:space="preserve"> restringidos. El código deberá extraer el token desde el encabezado HTTP de autorización (Bearer Token), procesarlo y gestionar adecuadamente las excepciones en caso de que el token esté expirado o posea una firma con un algoritmo inválido. Posteriormente</w:t>
      </w:r>
      <w:r>
        <w:rPr>
          <w:rFonts w:ascii="Arial" w:hAnsi="Arial" w:eastAsia="Arial" w:cs="Arial"/>
          <w:color w:val="2f3e46"/>
          <w:sz w:val="22"/>
        </w:rPr>
        <w:t xml:space="preserve">, simularás la existencia de dos microservicios autónomos mediante los endpoints independientes definidos en el controlador:</w:t>
      </w:r>
      <w:r/>
    </w:p>
    <w:p w14:paraId="28DDCFC0">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60" w:line="369" w:lineRule="atLeast"/>
        <w:ind w:right="0"/>
        <w:rPr/>
      </w:pPr>
      <w:r>
        <w:rPr>
          <w:rFonts w:ascii="Arial" w:hAnsi="Arial" w:eastAsia="Arial" w:cs="Arial"/>
          <w:color w:val="d63384"/>
          <w:sz w:val="24"/>
        </w:rPr>
        <w:t xml:space="preserve">GET /v1/service-alpha/private</w:t>
      </w:r>
      <w:r/>
    </w:p>
    <w:p w14:paraId="63F06A24">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60" w:line="369" w:lineRule="atLeast"/>
        <w:ind w:right="0"/>
        <w:rPr/>
      </w:pPr>
      <w:r>
        <w:rPr>
          <w:rFonts w:ascii="Arial" w:hAnsi="Arial" w:eastAsia="Arial" w:cs="Arial"/>
          <w:color w:val="d63384"/>
          <w:sz w:val="24"/>
        </w:rPr>
        <w:t xml:space="preserve">GET /v1/service-beta/private</w:t>
      </w:r>
      <w:r/>
    </w:p>
    <w:p w14:paraId="6738FE58">
      <w:pPr>
        <w:pBdr>
          <w:top w:val="none" w:color="000000" w:sz="4" w:space="0"/>
          <w:left w:val="none" w:color="000000" w:sz="4" w:space="0"/>
          <w:bottom w:val="none" w:color="000000" w:sz="4" w:space="0"/>
          <w:right w:val="none" w:color="000000" w:sz="4" w:space="0"/>
        </w:pBdr>
        <w:shd w:val="clear" w:color="ffffff" w:fill="ffffff"/>
        <w:spacing w:after="239" w:before="75" w:line="369" w:lineRule="atLeast"/>
        <w:ind w:right="0" w:firstLine="0" w:left="0"/>
        <w:rPr/>
      </w:pPr>
      <w:r>
        <w:rPr>
          <w:rFonts w:ascii="Arial" w:hAnsi="Arial" w:eastAsia="Arial" w:cs="Arial"/>
          <w:color w:val="2f3e46"/>
          <w:sz w:val="22"/>
        </w:rPr>
        <w:t xml:space="preserve">Ambos servicios deberán permitir o denegar el acceso validando la firma del token de forma aislada a través de la llave pública compartida, garantizando un flujo completamente stateless.</w:t>
      </w:r>
      <w:r/>
    </w:p>
    <w:p w14:paraId="05FC3802">
      <w:pPr>
        <w:pStyle w:val="142"/>
        <w:pBdr>
          <w:top w:val="none" w:color="000000" w:sz="4" w:space="0"/>
          <w:left w:val="none" w:color="000000" w:sz="4" w:space="0"/>
          <w:bottom w:val="none" w:color="000000" w:sz="4" w:space="0"/>
          <w:right w:val="none" w:color="000000" w:sz="4" w:space="0"/>
        </w:pBdr>
        <w:shd w:val="clear" w:color="ffffff" w:fill="ffffff"/>
        <w:spacing w:after="75" w:before="0" w:line="588" w:lineRule="atLeast"/>
        <w:ind w:right="0" w:firstLine="0" w:left="0"/>
        <w:rPr/>
      </w:pPr>
      <w:r>
        <w:rPr>
          <w:rFonts w:ascii="Open Sans" w:hAnsi="Open Sans" w:eastAsia="Open Sans" w:cs="Open Sans"/>
          <w:b/>
          <w:color w:val="1b4d3e"/>
          <w:sz w:val="24"/>
        </w:rPr>
        <w:t xml:space="preserve">Paso 4: Investigación Teórica - Integración de Refresh Tokens</w:t>
      </w:r>
      <w:r/>
    </w:p>
    <w:p w14:paraId="4E09AE59">
      <w:pPr>
        <w:pBdr>
          <w:top w:val="none" w:color="000000" w:sz="4" w:space="0"/>
          <w:left w:val="none" w:color="000000" w:sz="4" w:space="0"/>
          <w:bottom w:val="none" w:color="000000" w:sz="4" w:space="0"/>
          <w:right w:val="none" w:color="000000" w:sz="4" w:space="0"/>
        </w:pBdr>
        <w:shd w:val="clear" w:color="ffffff" w:fill="ffffff"/>
        <w:spacing w:after="239" w:before="0" w:line="369" w:lineRule="atLeast"/>
        <w:ind w:right="0" w:firstLine="0" w:left="0"/>
        <w:jc w:val="both"/>
        <w:rPr/>
      </w:pPr>
      <w:r>
        <w:rPr>
          <w:rFonts w:ascii="Arial" w:hAnsi="Arial" w:eastAsia="Arial" w:cs="Arial"/>
          <w:color w:val="2f3e46"/>
          <w:sz w:val="22"/>
        </w:rPr>
        <w:t xml:space="preserve">En el documento final de entrega, añade una sección de análisis técnico respondiendo de forma fundamentada los siguientes cuestionamientos:</w:t>
      </w:r>
      <w:r/>
    </w:p>
    <w:p w14:paraId="13DC1DB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color w:val="2f3e46"/>
          <w:sz w:val="22"/>
        </w:rPr>
        <w:t xml:space="preserve">Dado que los JWT son Stateless y en nuestra práctica expiran en 1 minuto, ¿de qué manera la implementación teórica de un </w:t>
      </w:r>
      <w:r>
        <w:rPr>
          <w:rFonts w:ascii="Arial" w:hAnsi="Arial" w:eastAsia="Arial" w:cs="Arial"/>
          <w:i/>
          <w:color w:val="2f3e46"/>
          <w:sz w:val="22"/>
        </w:rPr>
        <w:t xml:space="preserve">Refresh Token</w:t>
      </w:r>
      <w:r>
        <w:rPr>
          <w:rFonts w:ascii="Arial" w:hAnsi="Arial" w:eastAsia="Arial" w:cs="Arial"/>
          <w:color w:val="2f3e46"/>
          <w:sz w:val="22"/>
        </w:rPr>
        <w:t xml:space="preserve"> solucionaría la experiencia del usuario sin comprometer la seguridad de los servicios distribuidos?</w:t>
      </w:r>
      <w:r/>
    </w:p>
    <w:p w14:paraId="687C8B4B">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color w:val="2f3e46"/>
          <w:sz w:val="22"/>
        </w:rPr>
        <w:t xml:space="preserve">¿En qué lugar del ecosistema (Cliente o Servidor) se debería almacenar y gestionar el ciclo de vida del Refresh Token según las buenas prácticas analizadas sobre la persistencia de cookies seguras?</w:t>
      </w:r>
      <w:r/>
    </w:p>
    <w:p w14:paraId="7D831A97">
      <w:pPr>
        <w:pStyle w:val="141"/>
        <w:pBdr>
          <w:top w:val="none" w:color="000000" w:sz="4" w:space="0"/>
          <w:left w:val="none" w:color="000000" w:sz="4" w:space="0"/>
          <w:bottom w:val="single" w:color="c5a059" w:sz="12" w:space="0"/>
          <w:right w:val="none" w:color="000000" w:sz="4" w:space="0"/>
        </w:pBdr>
        <w:shd w:val="clear" w:color="ffffff" w:fill="ffffff"/>
        <w:spacing w:after="120" w:before="525" w:line="736" w:lineRule="atLeast"/>
        <w:ind w:right="0" w:firstLine="0" w:left="0"/>
        <w:rPr/>
      </w:pPr>
      <w:r>
        <w:rPr>
          <w:rFonts w:ascii="Open Sans" w:hAnsi="Open Sans" w:eastAsia="Open Sans" w:cs="Open Sans"/>
          <w:b/>
          <w:color w:val="1b4d3e"/>
          <w:sz w:val="27"/>
        </w:rPr>
        <w:t xml:space="preserve">Flujo de Trabajo y Commits Semánticos</w:t>
      </w:r>
      <w:r/>
    </w:p>
    <w:p w14:paraId="59EB8D98">
      <w:pPr>
        <w:pBdr>
          <w:top w:val="none" w:color="000000" w:sz="4" w:space="0"/>
          <w:left w:val="none" w:color="000000" w:sz="4" w:space="0"/>
          <w:bottom w:val="none" w:color="000000" w:sz="4" w:space="0"/>
          <w:right w:val="none" w:color="000000" w:sz="4" w:space="0"/>
        </w:pBdr>
        <w:shd w:val="clear" w:color="ffffff" w:fill="ffffff"/>
        <w:spacing w:after="150" w:before="0" w:line="369" w:lineRule="atLeast"/>
        <w:ind w:right="0" w:firstLine="0" w:left="0"/>
        <w:jc w:val="both"/>
        <w:rPr/>
      </w:pPr>
      <w:r>
        <w:rPr>
          <w:rFonts w:ascii="Arial" w:hAnsi="Arial" w:eastAsia="Arial" w:cs="Arial"/>
          <w:color w:val="2f3e46"/>
          <w:sz w:val="22"/>
        </w:rPr>
        <w:t xml:space="preserve">Para la evaluación de la progresión de tu desarrollo, es mandatorio que registres tu avance utilizando el estándar de commits semánticos. Tu historial de Git debe evidenciar, como mínimo, la siguiente secuencia cronológica exacta:</w:t>
      </w:r>
      <w:r/>
    </w:p>
    <w:p w14:paraId="6B48C39E">
      <w:pPr>
        <w:pBdr>
          <w:top w:val="none" w:color="000000" w:sz="4" w:space="0"/>
          <w:left w:val="single" w:color="1b4d3e" w:sz="24" w:space="0"/>
          <w:bottom w:val="none" w:color="000000" w:sz="4" w:space="0"/>
          <w:right w:val="single" w:color="1b4d3e" w:sz="24" w:space="0"/>
        </w:pBdr>
        <w:shd w:val="clear" w:color="f4f6f6" w:fill="f4f6f6"/>
        <w:spacing w:line="344" w:lineRule="atLeast"/>
        <w:ind w:right="0" w:firstLine="0" w:left="0"/>
        <w:rPr/>
      </w:pPr>
      <w:r>
        <w:rPr>
          <w:rFonts w:ascii="Courier New" w:hAnsi="Courier New" w:eastAsia="Courier New" w:cs="Courier New"/>
          <w:color w:val="2f3e46"/>
          <w:sz w:val="20"/>
        </w:rPr>
        <w:t xml:space="preserve">chore: inicializar entorno, dependencias y par de llaves criptograficas</w:t>
        <w:br/>
        <w:t xml:space="preserve">feat: implementar capa de servicio para firmado asimetrico RS256</w:t>
        <w:br/>
        <w:t xml:space="preserve">feat: implementar middleware de verificacion automatica y control de expiracion</w:t>
        <w:br/>
        <w:t xml:space="preserve">feat: simular endpoints independientes </w:t>
      </w:r>
      <w:r>
        <w:rPr>
          <w:rFonts w:ascii="Courier New" w:hAnsi="Courier New" w:eastAsia="Courier New" w:cs="Courier New"/>
          <w:color w:val="2f3e46"/>
          <w:sz w:val="20"/>
        </w:rPr>
        <w:t xml:space="preserve">para service-alpha y service-beta</w:t>
        <w:br/>
        <w:t xml:space="preserve">fix: correccion de manejo de excepciones por algoritmo invalido o ausencia de token</w:t>
      </w:r>
      <w:r/>
    </w:p>
    <w:p w14:paraId="10158445">
      <w:pPr>
        <w:pStyle w:val="141"/>
        <w:pBdr>
          <w:top w:val="none" w:color="000000" w:sz="4" w:space="0"/>
          <w:left w:val="none" w:color="000000" w:sz="4" w:space="0"/>
          <w:bottom w:val="single" w:color="c5a059" w:sz="12" w:space="0"/>
          <w:right w:val="none" w:color="000000" w:sz="4" w:space="0"/>
        </w:pBdr>
        <w:shd w:val="clear" w:color="ffffff" w:fill="ffffff"/>
        <w:spacing w:after="120" w:before="525" w:line="736" w:lineRule="atLeast"/>
        <w:ind w:right="0" w:firstLine="0" w:left="0"/>
        <w:rPr/>
      </w:pPr>
      <w:r>
        <w:rPr>
          <w:rFonts w:ascii="Open Sans" w:hAnsi="Open Sans" w:eastAsia="Open Sans" w:cs="Open Sans"/>
          <w:b/>
          <w:color w:val="1b4d3e"/>
          <w:sz w:val="27"/>
        </w:rPr>
        <w:t xml:space="preserve">Formato de Entrega</w:t>
      </w:r>
      <w:r/>
    </w:p>
    <w:p w14:paraId="68A00B27">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color w:val="2f3e46"/>
          <w:sz w:val="22"/>
        </w:rPr>
        <w:t xml:space="preserve">El enlace directo a tu repositorio de Git (asegúrate de otorgar acceso de lectura al docente).</w:t>
      </w:r>
      <w:r/>
    </w:p>
    <w:p w14:paraId="282810A1">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color w:val="2f3e46"/>
          <w:sz w:val="22"/>
        </w:rPr>
        <w:t xml:space="preserve">Capturas de pantalla detalladas de tus pruebas técnicas ejecutadas en Postman o Insomnia que demuestren: la generación exitosa del token, el acceso válido a ambos microservicios, y la captura del error controlado una vez transcurrido el minuto de expiració</w:t>
      </w:r>
      <w:r>
        <w:rPr>
          <w:rFonts w:ascii="Arial" w:hAnsi="Arial" w:eastAsia="Arial" w:cs="Arial"/>
          <w:color w:val="2f3e46"/>
          <w:sz w:val="22"/>
        </w:rPr>
        <w:t xml:space="preserve">n.</w:t>
      </w:r>
      <w:r/>
    </w:p>
    <w:p w14:paraId="5AB1593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90" w:line="369" w:lineRule="atLeast"/>
        <w:ind w:right="0"/>
        <w:rPr/>
      </w:pPr>
      <w:r>
        <w:rPr>
          <w:rFonts w:ascii="Arial" w:hAnsi="Arial" w:eastAsia="Arial" w:cs="Arial"/>
          <w:color w:val="2f3e46"/>
          <w:sz w:val="22"/>
        </w:rPr>
        <w:t xml:space="preserve">El desarrollo escrito de la sección teórica de investigación sobre Refresh Tokens en el archivo README.md.</w:t>
      </w:r>
      <w:r/>
    </w:p>
    <w:p w14:paraId="423A2961">
      <w:pPr>
        <w:pStyle w:val="141"/>
        <w:pBdr>
          <w:top w:val="none" w:color="000000" w:sz="4" w:space="0"/>
          <w:left w:val="none" w:color="000000" w:sz="4" w:space="0"/>
          <w:bottom w:val="single" w:color="c5a059" w:sz="12" w:space="0"/>
          <w:right w:val="none" w:color="000000" w:sz="4" w:space="0"/>
        </w:pBdr>
        <w:shd w:val="clear" w:color="ffffff" w:fill="ffffff"/>
        <w:spacing w:after="120" w:before="600" w:line="736" w:lineRule="atLeast"/>
        <w:ind w:right="0" w:firstLine="0" w:left="0"/>
        <w:rPr/>
      </w:pPr>
      <w:r>
        <w:rPr>
          <w:rFonts w:ascii="Open Sans" w:hAnsi="Open Sans" w:eastAsia="Open Sans" w:cs="Open Sans"/>
          <w:b/>
          <w:color w:val="1b4d3e"/>
          <w:sz w:val="27"/>
        </w:rPr>
        <w:t xml:space="preserve">Rúbrica de Evaluación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9"/>
        <w:gridCol w:w="2338"/>
        <w:gridCol w:w="2338"/>
        <w:gridCol w:w="2338"/>
      </w:tblGrid>
      <w:tr>
        <w:trPr/>
        <w:tc>
          <w:tcPr>
            <w:shd w:val="clear" w:color="1b4d3e" w:fill="1b4d3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9" w:type="dxa"/>
            <w:vAlign w:val="center"/>
          </w:tcPr>
          <w:p w14:paraId="7A87BD17">
            <w:pPr>
              <w:pBdr/>
              <w:spacing w:after="0" w:before="0" w:line="240"/>
              <w:ind/>
              <w:rPr/>
            </w:pPr>
            <w:r>
              <w:rPr>
                <w:rFonts w:ascii="Arial" w:hAnsi="Arial" w:eastAsia="Arial" w:cs="Arial"/>
                <w:b/>
                <w:color w:val="ffffff"/>
                <w:sz w:val="20"/>
              </w:rPr>
              <w:t xml:space="preserve">Criterio</w:t>
            </w:r>
            <w:r/>
          </w:p>
        </w:tc>
        <w:tc>
          <w:tcPr>
            <w:shd w:val="clear" w:color="1b4d3e" w:fill="1b4d3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5F333F81">
            <w:pPr>
              <w:pBdr/>
              <w:spacing w:after="0" w:before="0" w:line="240"/>
              <w:ind/>
              <w:rPr/>
            </w:pPr>
            <w:r>
              <w:rPr>
                <w:rFonts w:ascii="Arial" w:hAnsi="Arial" w:eastAsia="Arial" w:cs="Arial"/>
                <w:b/>
                <w:color w:val="ffffff"/>
                <w:sz w:val="20"/>
              </w:rPr>
              <w:t xml:space="preserve">Insuficiente (1 Pto)</w:t>
            </w:r>
            <w:r/>
          </w:p>
        </w:tc>
        <w:tc>
          <w:tcPr>
            <w:shd w:val="clear" w:color="1b4d3e" w:fill="1b4d3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1CFFAFB0">
            <w:pPr>
              <w:pBdr/>
              <w:spacing w:after="0" w:before="0" w:line="240"/>
              <w:ind/>
              <w:rPr/>
            </w:pPr>
            <w:r>
              <w:rPr>
                <w:rFonts w:ascii="Arial" w:hAnsi="Arial" w:eastAsia="Arial" w:cs="Arial"/>
                <w:b/>
                <w:color w:val="ffffff"/>
                <w:sz w:val="20"/>
              </w:rPr>
              <w:t xml:space="preserve">Competente (3 Ptos)</w:t>
            </w:r>
            <w:r/>
          </w:p>
        </w:tc>
        <w:tc>
          <w:tcPr>
            <w:shd w:val="clear" w:color="1b4d3e" w:fill="1b4d3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30449808">
            <w:pPr>
              <w:pBdr/>
              <w:spacing w:after="0" w:before="0" w:line="240"/>
              <w:ind/>
              <w:rPr/>
            </w:pPr>
            <w:r>
              <w:rPr>
                <w:rFonts w:ascii="Arial" w:hAnsi="Arial" w:eastAsia="Arial" w:cs="Arial"/>
                <w:b/>
                <w:color w:val="ffffff"/>
                <w:sz w:val="20"/>
              </w:rPr>
              <w:t xml:space="preserve">Sobresaliente (5 Ptos)</w:t>
            </w:r>
            <w:r/>
          </w:p>
        </w:tc>
      </w:tr>
      <w:tr>
        <w:trPr/>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9" w:type="dxa"/>
            <w:vAlign w:val="center"/>
          </w:tcPr>
          <w:p w14:paraId="6B16628B">
            <w:pPr>
              <w:pBdr/>
              <w:spacing w:after="0" w:before="0" w:line="240"/>
              <w:ind/>
              <w:rPr/>
            </w:pPr>
            <w:r>
              <w:rPr>
                <w:rFonts w:ascii="Arial" w:hAnsi="Arial" w:eastAsia="Arial" w:cs="Arial"/>
                <w:b/>
                <w:color w:val="1b4d3e"/>
                <w:sz w:val="20"/>
              </w:rPr>
              <w:t xml:space="preserve">Arquitectura SOLID y Desacoplamiento</w:t>
            </w:r>
            <w:r/>
          </w:p>
        </w:tc>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34FF59BD">
            <w:pPr>
              <w:pBdr/>
              <w:spacing w:after="0" w:before="0" w:line="240"/>
              <w:ind/>
              <w:jc w:val="both"/>
              <w:rPr/>
            </w:pPr>
            <w:r>
              <w:rPr>
                <w:rFonts w:ascii="Arial" w:hAnsi="Arial" w:eastAsia="Arial" w:cs="Arial"/>
                <w:color w:val="555555"/>
                <w:sz w:val="20"/>
              </w:rPr>
              <w:t xml:space="preserve">El código se encuentra centralizado en un único bloque o archivo. No existe una distinción clara de responsabilidades arquitectónicas.</w:t>
            </w:r>
            <w:r/>
          </w:p>
        </w:tc>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664B83E4">
            <w:pPr>
              <w:pBdr/>
              <w:spacing w:after="0" w:before="0" w:line="240"/>
              <w:ind/>
              <w:jc w:val="both"/>
              <w:rPr/>
            </w:pPr>
            <w:r>
              <w:rPr>
                <w:rFonts w:ascii="Arial" w:hAnsi="Arial" w:eastAsia="Arial" w:cs="Arial"/>
                <w:color w:val="555555"/>
                <w:sz w:val="20"/>
              </w:rPr>
              <w:t xml:space="preserve">El código está dividido en carpetas, pero existen fugas de responsabilidad entre la capa de middleware, ruteo o variables de entorno.</w:t>
            </w:r>
            <w:r/>
          </w:p>
        </w:tc>
        <w:tc>
          <w:tcPr>
            <w:shd w:val="clear" w:color="f9fbf9" w:fill="f9fbf9"/>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1E1A1B5D">
            <w:pPr>
              <w:pBdr/>
              <w:spacing w:after="0" w:before="0" w:line="240"/>
              <w:ind/>
              <w:jc w:val="both"/>
              <w:rPr/>
            </w:pPr>
            <w:r>
              <w:rPr>
                <w:rFonts w:ascii="Arial" w:hAnsi="Arial" w:eastAsia="Arial" w:cs="Arial"/>
                <w:color w:val="555555"/>
                <w:sz w:val="20"/>
              </w:rPr>
              <w:t xml:space="preserve">Aplicación estricta de SRP. Las rutas, controladores, middlewares y servicios criptográficos están perfectamente aislados e independientes.</w:t>
            </w:r>
            <w:r/>
          </w:p>
        </w:tc>
      </w:tr>
      <w:tr>
        <w:trPr/>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9" w:type="dxa"/>
            <w:vAlign w:val="center"/>
          </w:tcPr>
          <w:p w14:paraId="42C3DCDA">
            <w:pPr>
              <w:pBdr/>
              <w:spacing w:after="0" w:before="0" w:line="240"/>
              <w:ind/>
              <w:rPr/>
            </w:pPr>
            <w:r>
              <w:rPr>
                <w:rFonts w:ascii="Arial" w:hAnsi="Arial" w:eastAsia="Arial" w:cs="Arial"/>
                <w:b/>
                <w:color w:val="1b4d3e"/>
                <w:sz w:val="20"/>
              </w:rPr>
              <w:t xml:space="preserve">Firmado Asimétrico y Configuración</w:t>
            </w:r>
            <w:r/>
          </w:p>
        </w:tc>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3EE16EE3">
            <w:pPr>
              <w:pBdr/>
              <w:spacing w:after="0" w:before="0" w:line="240"/>
              <w:ind/>
              <w:jc w:val="both"/>
              <w:rPr/>
            </w:pPr>
            <w:r>
              <w:rPr>
                <w:rFonts w:ascii="Arial" w:hAnsi="Arial" w:eastAsia="Arial" w:cs="Arial"/>
                <w:color w:val="555555"/>
                <w:sz w:val="20"/>
              </w:rPr>
              <w:t xml:space="preserve">El token es generado usando únicamente firma simétrica estática o no se estructuran correctamente los claims mínimos solicitados en clase.</w:t>
            </w:r>
            <w:r/>
          </w:p>
        </w:tc>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5255293A">
            <w:pPr>
              <w:pBdr/>
              <w:spacing w:after="0" w:before="0" w:line="240"/>
              <w:ind/>
              <w:jc w:val="both"/>
              <w:rPr/>
            </w:pPr>
            <w:r>
              <w:rPr>
                <w:rFonts w:ascii="Arial" w:hAnsi="Arial" w:eastAsia="Arial" w:cs="Arial"/>
                <w:color w:val="555555"/>
                <w:sz w:val="20"/>
              </w:rPr>
              <w:t xml:space="preserve">Implementa el firmado con algoritmo asimétrico </w:t>
            </w:r>
            <w:r>
              <w:rPr>
                <w:rFonts w:ascii="Arial" w:hAnsi="Arial" w:eastAsia="Arial" w:cs="Arial"/>
                <w:color w:val="d63384"/>
                <w:sz w:val="24"/>
              </w:rPr>
              <w:t xml:space="preserve">RS256</w:t>
            </w:r>
            <w:r>
              <w:rPr>
                <w:rFonts w:ascii="Arial" w:hAnsi="Arial" w:eastAsia="Arial" w:cs="Arial"/>
                <w:color w:val="555555"/>
                <w:sz w:val="20"/>
              </w:rPr>
              <w:t xml:space="preserve">, pero la extracción de las llaves criptográficas no se realiza mediante variables de entorno de forma limpia.</w:t>
            </w:r>
            <w:r/>
          </w:p>
        </w:tc>
        <w:tc>
          <w:tcPr>
            <w:shd w:val="clear" w:color="f9fbf9" w:fill="f9fbf9"/>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4E509A31">
            <w:pPr>
              <w:pBdr/>
              <w:spacing w:after="0" w:before="0" w:line="240"/>
              <w:ind/>
              <w:jc w:val="both"/>
              <w:rPr/>
            </w:pPr>
            <w:r>
              <w:rPr>
                <w:rFonts w:ascii="Arial" w:hAnsi="Arial" w:eastAsia="Arial" w:cs="Arial"/>
                <w:color w:val="555555"/>
                <w:sz w:val="20"/>
              </w:rPr>
              <w:t xml:space="preserve">Carga limpia del par de llaves generadas por OpenSSL a través de variables de entorno seguras. Payload estructurado con expiración exacta.</w:t>
            </w:r>
            <w:r/>
          </w:p>
        </w:tc>
      </w:tr>
      <w:tr>
        <w:trPr/>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9" w:type="dxa"/>
            <w:vAlign w:val="center"/>
          </w:tcPr>
          <w:p w14:paraId="6BBB14A2">
            <w:pPr>
              <w:pBdr/>
              <w:spacing w:after="0" w:before="0" w:line="240"/>
              <w:ind/>
              <w:rPr/>
            </w:pPr>
            <w:r>
              <w:rPr>
                <w:rFonts w:ascii="Arial" w:hAnsi="Arial" w:eastAsia="Arial" w:cs="Arial"/>
                <w:b/>
                <w:color w:val="1b4d3e"/>
                <w:sz w:val="20"/>
              </w:rPr>
              <w:t xml:space="preserve">Simulación de Servicios y Control de Errores</w:t>
            </w:r>
            <w:r/>
          </w:p>
        </w:tc>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5EA2B01A">
            <w:pPr>
              <w:pBdr/>
              <w:spacing w:after="0" w:before="0" w:line="240"/>
              <w:ind/>
              <w:jc w:val="both"/>
              <w:rPr/>
            </w:pPr>
            <w:r>
              <w:rPr>
                <w:rFonts w:ascii="Arial" w:hAnsi="Arial" w:eastAsia="Arial" w:cs="Arial"/>
                <w:color w:val="555555"/>
                <w:sz w:val="20"/>
              </w:rPr>
              <w:t xml:space="preserve">Los endpoints independientes no validan el token o el servidor Express interrumpe su ejecución ante excepciones de tokens malformados.</w:t>
            </w:r>
            <w:r/>
          </w:p>
        </w:tc>
        <w:tc>
          <w:tcPr>
            <w:shd w:val="clear" w:color="ffffff" w:fill="ffffff"/>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16FB74A3">
            <w:pPr>
              <w:pBdr/>
              <w:spacing w:after="0" w:before="0" w:line="240"/>
              <w:ind/>
              <w:jc w:val="both"/>
              <w:rPr/>
            </w:pPr>
            <w:r>
              <w:rPr>
                <w:rFonts w:ascii="Arial" w:hAnsi="Arial" w:eastAsia="Arial" w:cs="Arial"/>
                <w:color w:val="555555"/>
                <w:sz w:val="20"/>
              </w:rPr>
              <w:t xml:space="preserve">Los endpoints realizan la validación de identidad de forma stateless, pero el middleware no diferencia de forma exacta las excepciones de expiración de firma.</w:t>
            </w:r>
            <w:r/>
          </w:p>
        </w:tc>
        <w:tc>
          <w:tcPr>
            <w:shd w:val="clear" w:color="f9fbf9" w:fill="f9fbf9"/>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6974A004">
            <w:pPr>
              <w:pBdr/>
              <w:spacing w:after="0" w:before="0" w:line="240"/>
              <w:ind/>
              <w:jc w:val="both"/>
              <w:rPr/>
            </w:pPr>
            <w:r>
              <w:rPr>
                <w:rFonts w:ascii="Arial" w:hAnsi="Arial" w:eastAsia="Arial" w:cs="Arial"/>
                <w:color w:val="555555"/>
                <w:sz w:val="20"/>
              </w:rPr>
              <w:t xml:space="preserve">Simulación exitosa de validaciones independientes en ambos servicios. Manejo robusto de errores devolviendo códigos HTTP controlados.</w:t>
            </w:r>
            <w:r/>
          </w:p>
        </w:tc>
      </w:tr>
      <w:tr>
        <w:trPr/>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9" w:type="dxa"/>
            <w:vAlign w:val="center"/>
          </w:tcPr>
          <w:p w14:paraId="094B8899">
            <w:pPr>
              <w:pBdr/>
              <w:spacing w:after="0" w:before="0" w:line="240"/>
              <w:ind/>
              <w:rPr/>
            </w:pPr>
            <w:r>
              <w:rPr>
                <w:rFonts w:ascii="Arial" w:hAnsi="Arial" w:eastAsia="Arial" w:cs="Arial"/>
                <w:b/>
                <w:color w:val="1b4d3e"/>
                <w:sz w:val="20"/>
              </w:rPr>
              <w:t xml:space="preserve">Commits Semánticos e Investigación</w:t>
            </w:r>
            <w:r/>
          </w:p>
        </w:tc>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7F7AABB6">
            <w:pPr>
              <w:pBdr/>
              <w:spacing w:after="0" w:before="0" w:line="240"/>
              <w:ind/>
              <w:jc w:val="both"/>
              <w:rPr/>
            </w:pPr>
            <w:r>
              <w:rPr>
                <w:rFonts w:ascii="Arial" w:hAnsi="Arial" w:eastAsia="Arial" w:cs="Arial"/>
                <w:color w:val="555555"/>
                <w:sz w:val="20"/>
              </w:rPr>
              <w:t xml:space="preserve">El historial de Git cuenta con un único commit masivo o confuso. No se incluye el desarrollo de la sección de investigación teórica.</w:t>
            </w:r>
            <w:r/>
          </w:p>
        </w:tc>
        <w:tc>
          <w:tcPr>
            <w:shd w:val="clear" w:color="fcfdfe" w:fill="fcfdfe"/>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53C3BD74">
            <w:pPr>
              <w:pBdr/>
              <w:spacing w:after="0" w:before="0" w:line="240"/>
              <w:ind/>
              <w:jc w:val="both"/>
              <w:rPr/>
            </w:pPr>
            <w:r>
              <w:rPr>
                <w:rFonts w:ascii="Arial" w:hAnsi="Arial" w:eastAsia="Arial" w:cs="Arial"/>
                <w:color w:val="555555"/>
                <w:sz w:val="20"/>
              </w:rPr>
              <w:t xml:space="preserve">Se utiliza el estándar de commits semánticos de forma parcial en la progresión. La investigación teórica carece de sustento arquitectónico.</w:t>
            </w:r>
            <w:r/>
          </w:p>
        </w:tc>
        <w:tc>
          <w:tcPr>
            <w:shd w:val="clear" w:color="f9fbf9" w:fill="f9fbf9"/>
            <w:tcBorders>
              <w:top w:val="single" w:color="d1dcd6" w:sz="6" w:space="0"/>
              <w:left w:val="single" w:color="d1dcd6" w:sz="6" w:space="0"/>
              <w:bottom w:val="single" w:color="d1dcd6" w:sz="6" w:space="0"/>
              <w:right w:val="single" w:color="d1dcd6" w:sz="6" w:space="0"/>
            </w:tcBorders>
            <w:tcMar>
              <w:left w:w="180" w:type="dxa"/>
              <w:top w:w="180" w:type="dxa"/>
              <w:right w:w="180" w:type="dxa"/>
              <w:bottom w:w="180" w:type="dxa"/>
            </w:tcMar>
            <w:tcW w:w="2338" w:type="dxa"/>
            <w:vAlign w:val="center"/>
          </w:tcPr>
          <w:p w14:paraId="2759B29B">
            <w:pPr>
              <w:pBdr/>
              <w:spacing w:after="0" w:before="0" w:line="240"/>
              <w:ind/>
              <w:jc w:val="both"/>
              <w:rPr/>
            </w:pPr>
            <w:r>
              <w:rPr>
                <w:rFonts w:ascii="Arial" w:hAnsi="Arial" w:eastAsia="Arial" w:cs="Arial"/>
                <w:color w:val="555555"/>
                <w:sz w:val="20"/>
              </w:rPr>
              <w:t xml:space="preserve">Historial impecable que refleja la evolución del desarrollo técnico con commits semánticos. Investigación teórica profunda y fundamentada.</w:t>
            </w:r>
            <w:r/>
          </w:p>
        </w:tc>
      </w:tr>
    </w:tbl>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2C0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E24E0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micampus.espe.edu.ec/mod/folder/view.php?id=62146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2026-06-18T23:50:12Z</dcterms:modified>
</cp:coreProperties>
</file>