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3 Applied Work: Machine-Learning Framework for Polymer Degradation Prediction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3 was to define a machine-learning framework that connects polymer chemistry to degradation prediction. At this stage, the project needed a modeling strategy before training began. The main decision was whether to begin with engineered descriptors, graph representations, or both.</w:t>
      </w:r>
    </w:p>
    <w:p>
      <w:pPr>
        <w:spacing w:line="480" w:lineRule="auto" w:after="0"/>
        <w:ind w:firstLine="720"/>
        <w:jc w:val="left"/>
      </w:pPr>
      <w:r>
        <w:rPr>
          <w:rFonts w:ascii="Times New Roman" w:hAnsi="Times New Roman"/>
          <w:b w:val="0"/>
          <w:i w:val="0"/>
          <w:sz w:val="24"/>
        </w:rPr>
        <w:t>The literature supports beginning with chemically interpretable representations. Butler et al. (2018) describe machine learning for molecular and materials science as most reliable when representation, data quality, and domain knowledge are aligned. Chen et al. (2021) describe polymer informatics as dependent on careful polymer representation and curated data. Therefore, the research question was: which model representation should be used first so that predictions remain interpretable and scientifically defensible?</w:t>
      </w:r>
    </w:p>
    <w:p>
      <w:pPr>
        <w:spacing w:line="480" w:lineRule="auto" w:after="0"/>
        <w:ind w:firstLine="720"/>
        <w:jc w:val="left"/>
      </w:pPr>
      <w:r>
        <w:rPr>
          <w:rFonts w:ascii="Times New Roman" w:hAnsi="Times New Roman"/>
          <w:b w:val="0"/>
          <w:i w:val="0"/>
          <w:sz w:val="24"/>
        </w:rPr>
        <w:t>Research question. How should QSAR descriptors and graph-based representations be compared for polymer degradation modeling?</w:t>
      </w:r>
    </w:p>
    <w:p>
      <w:pPr>
        <w:spacing w:line="480" w:lineRule="auto" w:after="0"/>
        <w:ind w:firstLine="720"/>
        <w:jc w:val="left"/>
      </w:pPr>
      <w:r>
        <w:rPr>
          <w:rFonts w:ascii="Times New Roman" w:hAnsi="Times New Roman"/>
          <w:b w:val="0"/>
          <w:i w:val="0"/>
          <w:sz w:val="24"/>
        </w:rPr>
        <w:t>It was hypothesized that descriptor-based QSAR models would provide the most interpretable baseline, while graph-based representations could become valuable later if the dataset contains chemically resolved structures rather than only summary descriptors.</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This week used a design-comparison method. QSAR modeling was evaluated as a baseline approach because the available data could be represented with numerical molecular descriptors. Graph-based learning was evaluated as a future extension because it can encode atoms, bonds, and local connectivity when appropriate molecular structures are available.</w:t>
      </w:r>
    </w:p>
    <w:p>
      <w:pPr>
        <w:spacing w:line="480" w:lineRule="auto" w:after="0"/>
        <w:ind w:firstLine="720"/>
        <w:jc w:val="left"/>
      </w:pPr>
      <w:r>
        <w:rPr>
          <w:rFonts w:ascii="Times New Roman" w:hAnsi="Times New Roman"/>
          <w:b w:val="0"/>
          <w:i w:val="0"/>
          <w:sz w:val="24"/>
        </w:rPr>
        <w:t>The proposed workflow separated polymer descriptors from environmental descriptors. Polymer descriptors included functional group counts, heteroatom density, molecular-weight proxies, polarity measures, and thermophysical indicators where available. Environmental descriptors included temperature, moisture, oxygen, ultraviolet exposure, salinity, and microbial indicators.</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resulting workflow placed QSAR-style descriptor models first, followed by graph-based modeling only after the data representation becomes chemically detailed enough to justify it. This ordering prevents the project from using a complex model before the dataset can support the model assumptions.</w:t>
      </w:r>
    </w:p>
    <w:p>
      <w:pPr>
        <w:spacing w:line="480" w:lineRule="auto" w:after="0"/>
        <w:ind w:firstLine="720"/>
        <w:jc w:val="left"/>
      </w:pPr>
      <w:r>
        <w:rPr>
          <w:rFonts w:ascii="Times New Roman" w:hAnsi="Times New Roman"/>
          <w:b w:val="0"/>
          <w:i w:val="0"/>
          <w:sz w:val="24"/>
        </w:rPr>
        <w:t>Appendix Figure A1 summarizes this modeling pipeline. The flow begins with polymer descriptors and environmental descriptors, passes through a QSAR or graph-based model, produces pathway or severity predictions, and returns to chemical interpretation.</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3 Machine-Learning Framework for Polymer Degradation Prediction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b/>
                <w:sz w:val="20"/>
              </w:rPr>
              <w:t>Model family</w:t>
            </w:r>
          </w:p>
        </w:tc>
        <w:tc>
          <w:tcPr>
            <w:tcW w:type="dxa" w:w="3120"/>
            <w:vAlign w:val="center"/>
          </w:tcPr>
          <w:p>
            <w:pPr>
              <w:spacing w:line="240" w:lineRule="auto"/>
            </w:pPr>
            <w:r>
              <w:rPr>
                <w:rFonts w:ascii="Times New Roman" w:hAnsi="Times New Roman"/>
                <w:b/>
                <w:sz w:val="20"/>
              </w:rPr>
              <w:t>Strength</w:t>
            </w:r>
          </w:p>
        </w:tc>
        <w:tc>
          <w:tcPr>
            <w:tcW w:type="dxa" w:w="3120"/>
            <w:vAlign w:val="center"/>
          </w:tcPr>
          <w:p>
            <w:pPr>
              <w:spacing w:line="240" w:lineRule="auto"/>
            </w:pPr>
            <w:r>
              <w:rPr>
                <w:rFonts w:ascii="Times New Roman" w:hAnsi="Times New Roman"/>
                <w:b/>
                <w:sz w:val="20"/>
              </w:rPr>
              <w:t>Risk</w:t>
            </w:r>
          </w:p>
        </w:tc>
      </w:tr>
      <w:tr>
        <w:tc>
          <w:tcPr>
            <w:tcW w:type="dxa" w:w="3120"/>
            <w:vAlign w:val="center"/>
          </w:tcPr>
          <w:p>
            <w:pPr>
              <w:spacing w:line="240" w:lineRule="auto"/>
            </w:pPr>
            <w:r>
              <w:rPr>
                <w:rFonts w:ascii="Times New Roman" w:hAnsi="Times New Roman"/>
                <w:sz w:val="18"/>
              </w:rPr>
              <w:t>QSAR descriptors</w:t>
            </w:r>
          </w:p>
        </w:tc>
        <w:tc>
          <w:tcPr>
            <w:tcW w:type="dxa" w:w="3120"/>
            <w:vAlign w:val="center"/>
          </w:tcPr>
          <w:p>
            <w:pPr>
              <w:spacing w:line="240" w:lineRule="auto"/>
            </w:pPr>
            <w:r>
              <w:rPr>
                <w:rFonts w:ascii="Times New Roman" w:hAnsi="Times New Roman"/>
                <w:sz w:val="18"/>
              </w:rPr>
              <w:t>Interpretable tabular baseline</w:t>
            </w:r>
          </w:p>
        </w:tc>
        <w:tc>
          <w:tcPr>
            <w:tcW w:type="dxa" w:w="3120"/>
            <w:vAlign w:val="center"/>
          </w:tcPr>
          <w:p>
            <w:pPr>
              <w:spacing w:line="240" w:lineRule="auto"/>
            </w:pPr>
            <w:r>
              <w:rPr>
                <w:rFonts w:ascii="Times New Roman" w:hAnsi="Times New Roman"/>
                <w:sz w:val="18"/>
              </w:rPr>
              <w:t>May miss local bond context.</w:t>
            </w:r>
          </w:p>
        </w:tc>
      </w:tr>
      <w:tr>
        <w:tc>
          <w:tcPr>
            <w:tcW w:type="dxa" w:w="3120"/>
            <w:vAlign w:val="center"/>
          </w:tcPr>
          <w:p>
            <w:pPr>
              <w:spacing w:line="240" w:lineRule="auto"/>
            </w:pPr>
            <w:r>
              <w:rPr>
                <w:rFonts w:ascii="Times New Roman" w:hAnsi="Times New Roman"/>
                <w:sz w:val="18"/>
              </w:rPr>
              <w:t>Graph learning</w:t>
            </w:r>
          </w:p>
        </w:tc>
        <w:tc>
          <w:tcPr>
            <w:tcW w:type="dxa" w:w="3120"/>
            <w:vAlign w:val="center"/>
          </w:tcPr>
          <w:p>
            <w:pPr>
              <w:spacing w:line="240" w:lineRule="auto"/>
            </w:pPr>
            <w:r>
              <w:rPr>
                <w:rFonts w:ascii="Times New Roman" w:hAnsi="Times New Roman"/>
                <w:sz w:val="18"/>
              </w:rPr>
              <w:t>Can represent atomic connectivity</w:t>
            </w:r>
          </w:p>
        </w:tc>
        <w:tc>
          <w:tcPr>
            <w:tcW w:type="dxa" w:w="3120"/>
            <w:vAlign w:val="center"/>
          </w:tcPr>
          <w:p>
            <w:pPr>
              <w:spacing w:line="240" w:lineRule="auto"/>
            </w:pPr>
            <w:r>
              <w:rPr>
                <w:rFonts w:ascii="Times New Roman" w:hAnsi="Times New Roman"/>
                <w:sz w:val="18"/>
              </w:rPr>
              <w:t>Requires chemically resolved graph inputs.</w:t>
            </w:r>
          </w:p>
        </w:tc>
      </w:tr>
      <w:tr>
        <w:tc>
          <w:tcPr>
            <w:tcW w:type="dxa" w:w="3120"/>
            <w:vAlign w:val="center"/>
          </w:tcPr>
          <w:p>
            <w:pPr>
              <w:spacing w:line="240" w:lineRule="auto"/>
            </w:pPr>
            <w:r>
              <w:rPr>
                <w:rFonts w:ascii="Times New Roman" w:hAnsi="Times New Roman"/>
                <w:sz w:val="18"/>
              </w:rPr>
              <w:t>Hybrid approach</w:t>
            </w:r>
          </w:p>
        </w:tc>
        <w:tc>
          <w:tcPr>
            <w:tcW w:type="dxa" w:w="3120"/>
            <w:vAlign w:val="center"/>
          </w:tcPr>
          <w:p>
            <w:pPr>
              <w:spacing w:line="240" w:lineRule="auto"/>
            </w:pPr>
            <w:r>
              <w:rPr>
                <w:rFonts w:ascii="Times New Roman" w:hAnsi="Times New Roman"/>
                <w:sz w:val="18"/>
              </w:rPr>
              <w:t>Combines descriptors and structure</w:t>
            </w:r>
          </w:p>
        </w:tc>
        <w:tc>
          <w:tcPr>
            <w:tcW w:type="dxa" w:w="3120"/>
            <w:vAlign w:val="center"/>
          </w:tcPr>
          <w:p>
            <w:pPr>
              <w:spacing w:line="240" w:lineRule="auto"/>
            </w:pPr>
            <w:r>
              <w:rPr>
                <w:rFonts w:ascii="Times New Roman" w:hAnsi="Times New Roman"/>
                <w:sz w:val="18"/>
              </w:rPr>
              <w:t>Needs careful validation against overfitting.</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3 hypothesis was supported. QSAR descriptors are the appropriate first modeling layer because they are compatible with tabular data and easier to interpret chemically. Graph-based learning remains scientifically attractive, but the logic behind the claim is that graph neural networks require meaningful graph structure; if the dataset contains only 41 summary descriptors, a graph model could add complexity without adding true chemical information.</w:t>
      </w:r>
    </w:p>
    <w:p>
      <w:pPr>
        <w:spacing w:line="480" w:lineRule="auto" w:after="0"/>
        <w:ind w:firstLine="720"/>
        <w:jc w:val="left"/>
      </w:pPr>
      <w:r>
        <w:rPr>
          <w:rFonts w:ascii="Times New Roman" w:hAnsi="Times New Roman"/>
          <w:b w:val="0"/>
          <w:i w:val="0"/>
          <w:sz w:val="24"/>
        </w:rPr>
        <w:t>This interpretation follows Butler et al. (2018) and Chen et al. (2021), who both emphasize the importance of representation and data quality in molecular or polymer machine learning. The limitation is that no model was trained yet. The next step was to formalize the dataset schema so that later training and validation could proceed consistently.</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Butler, K. T., Davies, D. W., Cartwright, H., Isayev, O., &amp; Walsh, A. (2018). Machine learning for molecular and materials science. </w:t>
      </w:r>
      <w:r>
        <w:rPr>
          <w:rFonts w:ascii="Times New Roman" w:hAnsi="Times New Roman"/>
          <w:i/>
          <w:sz w:val="24"/>
        </w:rPr>
        <w:t>Nature, 559</w:t>
      </w:r>
      <w:r>
        <w:rPr>
          <w:rFonts w:ascii="Times New Roman" w:hAnsi="Times New Roman"/>
          <w:i w:val="0"/>
          <w:sz w:val="24"/>
        </w:rPr>
        <w:t>(7715), 547-555. https://doi.org/10.1038/s41586-018-0337-2</w:t>
      </w:r>
    </w:p>
    <w:p>
      <w:pPr>
        <w:spacing w:line="480" w:lineRule="auto" w:after="0"/>
        <w:ind w:left="720" w:hanging="720"/>
      </w:pPr>
      <w:r>
        <w:rPr>
          <w:rFonts w:ascii="Times New Roman" w:hAnsi="Times New Roman"/>
          <w:i w:val="0"/>
          <w:sz w:val="24"/>
        </w:rPr>
        <w:t xml:space="preserve">Chen, L., Pilania, G., Batra, R., Huan, T. D., Kim, C., Kuenneth, C., &amp; Ramprasad, R. (2021). Polymer informatics: Current status and critical next steps. </w:t>
      </w:r>
      <w:r>
        <w:rPr>
          <w:rFonts w:ascii="Times New Roman" w:hAnsi="Times New Roman"/>
          <w:i/>
          <w:sz w:val="24"/>
        </w:rPr>
        <w:t>Materials Science and Engineering: R: Reports, 144</w:t>
      </w:r>
      <w:r>
        <w:rPr>
          <w:rFonts w:ascii="Times New Roman" w:hAnsi="Times New Roman"/>
          <w:i w:val="0"/>
          <w:sz w:val="24"/>
        </w:rPr>
        <w:t>, 100595. https://doi.org/10.1016/j.mser.2020.100595</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265714"/>
            <wp:docPr id="1" name="Picture 1"/>
            <wp:cNvGraphicFramePr>
              <a:graphicFrameLocks noChangeAspect="1"/>
            </wp:cNvGraphicFramePr>
            <a:graphic>
              <a:graphicData uri="http://schemas.openxmlformats.org/drawingml/2006/picture">
                <pic:pic>
                  <pic:nvPicPr>
                    <pic:cNvPr id="0" name="Week_03_Applied_Work_figure_1.png"/>
                    <pic:cNvPicPr/>
                  </pic:nvPicPr>
                  <pic:blipFill>
                    <a:blip r:embed="rId10"/>
                    <a:stretch>
                      <a:fillRect/>
                    </a:stretch>
                  </pic:blipFill>
                  <pic:spPr>
                    <a:xfrm>
                      <a:off x="0" y="0"/>
                      <a:ext cx="5715000" cy="3265714"/>
                    </a:xfrm>
                    <a:prstGeom prst="rect"/>
                  </pic:spPr>
                </pic:pic>
              </a:graphicData>
            </a:graphic>
          </wp:inline>
        </w:drawing>
      </w:r>
    </w:p>
    <w:p>
      <w:pPr>
        <w:spacing w:line="240" w:lineRule="auto" w:after="0"/>
        <w:jc w:val="center"/>
      </w:pPr>
      <w:r>
        <w:rPr>
          <w:rFonts w:ascii="Times New Roman" w:hAnsi="Times New Roman"/>
          <w:b w:val="0"/>
          <w:i/>
          <w:sz w:val="24"/>
        </w:rPr>
        <w:t>Figure A1. Modeling pipeline separating polymer chemistry, environment, and degradation outputs.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