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4 Applied Work: Dataset Schema for Polymer Degradation Modeling</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4 was to convert the earlier conceptual model into a practical data structure. The project needed a schema capable of recording polymer identity, environmental exposure, experimental conditions, and degradation outcomes without losing source traceability.</w:t>
      </w:r>
    </w:p>
    <w:p>
      <w:pPr>
        <w:spacing w:line="480" w:lineRule="auto" w:after="0"/>
        <w:ind w:firstLine="720"/>
        <w:jc w:val="left"/>
      </w:pPr>
      <w:r>
        <w:rPr>
          <w:rFonts w:ascii="Times New Roman" w:hAnsi="Times New Roman"/>
          <w:b w:val="0"/>
          <w:i w:val="0"/>
          <w:sz w:val="24"/>
        </w:rPr>
        <w:t>This need follows directly from polymer informatics literature. Chen et al. (2021) argue that polymer machine learning depends on data curation and representation, while Lin et al. (2019) introduced BigSMILES to address the representational difficulty of polymers. Therefore, the Week 4 research question was: what schema would make degradation data reproducible enough for later modeling?</w:t>
      </w:r>
    </w:p>
    <w:p>
      <w:pPr>
        <w:spacing w:line="480" w:lineRule="auto" w:after="0"/>
        <w:ind w:firstLine="720"/>
        <w:jc w:val="left"/>
      </w:pPr>
      <w:r>
        <w:rPr>
          <w:rFonts w:ascii="Times New Roman" w:hAnsi="Times New Roman"/>
          <w:b w:val="0"/>
          <w:i w:val="0"/>
          <w:sz w:val="24"/>
        </w:rPr>
        <w:t>Research question. What row structure should be used to collect polymer degradation evidence from heterogeneous literature sources?</w:t>
      </w:r>
    </w:p>
    <w:p>
      <w:pPr>
        <w:spacing w:line="480" w:lineRule="auto" w:after="0"/>
        <w:ind w:firstLine="720"/>
        <w:jc w:val="left"/>
      </w:pPr>
      <w:r>
        <w:rPr>
          <w:rFonts w:ascii="Times New Roman" w:hAnsi="Times New Roman"/>
          <w:b w:val="0"/>
          <w:i w:val="0"/>
          <w:sz w:val="24"/>
        </w:rPr>
        <w:t>It was hypothesized that each dataset row should separate polymer identity, exposure conditions, time, outcome metric, and source metadata so that later models can distinguish chemical signal from reporting context.</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schema was designed by treating a dataset row as a record of one polymer under one exposure condition with one measured degradation outcome. The candidate fields were grouped into polymer identity, structural representation, exposure condition, time point, measurement method, outcome value, source citation, DOI, and extraction notes.</w:t>
      </w:r>
    </w:p>
    <w:p>
      <w:pPr>
        <w:spacing w:line="480" w:lineRule="auto" w:after="0"/>
        <w:ind w:firstLine="720"/>
        <w:jc w:val="left"/>
      </w:pPr>
      <w:r>
        <w:rPr>
          <w:rFonts w:ascii="Times New Roman" w:hAnsi="Times New Roman"/>
          <w:b w:val="0"/>
          <w:i w:val="0"/>
          <w:sz w:val="24"/>
        </w:rPr>
        <w:t>The design also separated raw values from standardized values. This was necessary because literature sources may report time, temperature, mass loss, molecular-weight change, or carbonyl index in inconsistent ways. Retaining the original values while adding standardized fields protects reproducibility.</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resulting schema included five required components: polymer identity, exposure condition, time point, outcome metric, and source metadata. This structure created a reproducible bridge between literature extraction and later machine-learning analysis.</w:t>
      </w:r>
    </w:p>
    <w:p>
      <w:pPr>
        <w:spacing w:line="480" w:lineRule="auto" w:after="0"/>
        <w:ind w:firstLine="720"/>
        <w:jc w:val="left"/>
      </w:pPr>
      <w:r>
        <w:rPr>
          <w:rFonts w:ascii="Times New Roman" w:hAnsi="Times New Roman"/>
          <w:b w:val="0"/>
          <w:i w:val="0"/>
          <w:sz w:val="24"/>
        </w:rPr>
        <w:t>Appendix Figure A1 shows the proposed row structure. The figure is intentionally simple because the key Week 4 result was not a model score; it was the creation of a traceable dataset format.</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4 Dataset Schema for Polymer Degradation Modeling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b/>
                <w:sz w:val="20"/>
              </w:rPr>
              <w:t>Schema component</w:t>
            </w:r>
          </w:p>
        </w:tc>
        <w:tc>
          <w:tcPr>
            <w:tcW w:type="dxa" w:w="3120"/>
            <w:vAlign w:val="center"/>
          </w:tcPr>
          <w:p>
            <w:pPr>
              <w:spacing w:line="240" w:lineRule="auto"/>
            </w:pPr>
            <w:r>
              <w:rPr>
                <w:rFonts w:ascii="Times New Roman" w:hAnsi="Times New Roman"/>
                <w:b/>
                <w:sz w:val="20"/>
              </w:rPr>
              <w:t>Included information</w:t>
            </w:r>
          </w:p>
        </w:tc>
        <w:tc>
          <w:tcPr>
            <w:tcW w:type="dxa" w:w="3120"/>
            <w:vAlign w:val="center"/>
          </w:tcPr>
          <w:p>
            <w:pPr>
              <w:spacing w:line="240" w:lineRule="auto"/>
            </w:pPr>
            <w:r>
              <w:rPr>
                <w:rFonts w:ascii="Times New Roman" w:hAnsi="Times New Roman"/>
                <w:b/>
                <w:sz w:val="20"/>
              </w:rPr>
              <w:t>Purpose</w:t>
            </w:r>
          </w:p>
        </w:tc>
      </w:tr>
      <w:tr>
        <w:tc>
          <w:tcPr>
            <w:tcW w:type="dxa" w:w="3120"/>
            <w:vAlign w:val="center"/>
          </w:tcPr>
          <w:p>
            <w:pPr>
              <w:spacing w:line="240" w:lineRule="auto"/>
            </w:pPr>
            <w:r>
              <w:rPr>
                <w:rFonts w:ascii="Times New Roman" w:hAnsi="Times New Roman"/>
                <w:sz w:val="18"/>
              </w:rPr>
              <w:t>Polymer identity</w:t>
            </w:r>
          </w:p>
        </w:tc>
        <w:tc>
          <w:tcPr>
            <w:tcW w:type="dxa" w:w="3120"/>
            <w:vAlign w:val="center"/>
          </w:tcPr>
          <w:p>
            <w:pPr>
              <w:spacing w:line="240" w:lineRule="auto"/>
            </w:pPr>
            <w:r>
              <w:rPr>
                <w:rFonts w:ascii="Times New Roman" w:hAnsi="Times New Roman"/>
                <w:sz w:val="18"/>
              </w:rPr>
              <w:t>Name, class, representation</w:t>
            </w:r>
          </w:p>
        </w:tc>
        <w:tc>
          <w:tcPr>
            <w:tcW w:type="dxa" w:w="3120"/>
            <w:vAlign w:val="center"/>
          </w:tcPr>
          <w:p>
            <w:pPr>
              <w:spacing w:line="240" w:lineRule="auto"/>
            </w:pPr>
            <w:r>
              <w:rPr>
                <w:rFonts w:ascii="Times New Roman" w:hAnsi="Times New Roman"/>
                <w:sz w:val="18"/>
              </w:rPr>
              <w:t>Connects rows to chemical structure.</w:t>
            </w:r>
          </w:p>
        </w:tc>
      </w:tr>
      <w:tr>
        <w:tc>
          <w:tcPr>
            <w:tcW w:type="dxa" w:w="3120"/>
            <w:vAlign w:val="center"/>
          </w:tcPr>
          <w:p>
            <w:pPr>
              <w:spacing w:line="240" w:lineRule="auto"/>
            </w:pPr>
            <w:r>
              <w:rPr>
                <w:rFonts w:ascii="Times New Roman" w:hAnsi="Times New Roman"/>
                <w:sz w:val="18"/>
              </w:rPr>
              <w:t>Exposure condition</w:t>
            </w:r>
          </w:p>
        </w:tc>
        <w:tc>
          <w:tcPr>
            <w:tcW w:type="dxa" w:w="3120"/>
            <w:vAlign w:val="center"/>
          </w:tcPr>
          <w:p>
            <w:pPr>
              <w:spacing w:line="240" w:lineRule="auto"/>
            </w:pPr>
            <w:r>
              <w:rPr>
                <w:rFonts w:ascii="Times New Roman" w:hAnsi="Times New Roman"/>
                <w:sz w:val="18"/>
              </w:rPr>
              <w:t>Temperature, pH, UV, humidity, salinity</w:t>
            </w:r>
          </w:p>
        </w:tc>
        <w:tc>
          <w:tcPr>
            <w:tcW w:type="dxa" w:w="3120"/>
            <w:vAlign w:val="center"/>
          </w:tcPr>
          <w:p>
            <w:pPr>
              <w:spacing w:line="240" w:lineRule="auto"/>
            </w:pPr>
            <w:r>
              <w:rPr>
                <w:rFonts w:ascii="Times New Roman" w:hAnsi="Times New Roman"/>
                <w:sz w:val="18"/>
              </w:rPr>
              <w:t>Defines environmental drivers.</w:t>
            </w:r>
          </w:p>
        </w:tc>
      </w:tr>
      <w:tr>
        <w:tc>
          <w:tcPr>
            <w:tcW w:type="dxa" w:w="3120"/>
            <w:vAlign w:val="center"/>
          </w:tcPr>
          <w:p>
            <w:pPr>
              <w:spacing w:line="240" w:lineRule="auto"/>
            </w:pPr>
            <w:r>
              <w:rPr>
                <w:rFonts w:ascii="Times New Roman" w:hAnsi="Times New Roman"/>
                <w:sz w:val="18"/>
              </w:rPr>
              <w:t>Outcome metric</w:t>
            </w:r>
          </w:p>
        </w:tc>
        <w:tc>
          <w:tcPr>
            <w:tcW w:type="dxa" w:w="3120"/>
            <w:vAlign w:val="center"/>
          </w:tcPr>
          <w:p>
            <w:pPr>
              <w:spacing w:line="240" w:lineRule="auto"/>
            </w:pPr>
            <w:r>
              <w:rPr>
                <w:rFonts w:ascii="Times New Roman" w:hAnsi="Times New Roman"/>
                <w:sz w:val="18"/>
              </w:rPr>
              <w:t>Mass loss, carbonyl index, molecular weight</w:t>
            </w:r>
          </w:p>
        </w:tc>
        <w:tc>
          <w:tcPr>
            <w:tcW w:type="dxa" w:w="3120"/>
            <w:vAlign w:val="center"/>
          </w:tcPr>
          <w:p>
            <w:pPr>
              <w:spacing w:line="240" w:lineRule="auto"/>
            </w:pPr>
            <w:r>
              <w:rPr>
                <w:rFonts w:ascii="Times New Roman" w:hAnsi="Times New Roman"/>
                <w:sz w:val="18"/>
              </w:rPr>
              <w:t>Defines the dependent variable.</w:t>
            </w:r>
          </w:p>
        </w:tc>
      </w:tr>
      <w:tr>
        <w:tc>
          <w:tcPr>
            <w:tcW w:type="dxa" w:w="3120"/>
            <w:vAlign w:val="center"/>
          </w:tcPr>
          <w:p>
            <w:pPr>
              <w:spacing w:line="240" w:lineRule="auto"/>
            </w:pPr>
            <w:r>
              <w:rPr>
                <w:rFonts w:ascii="Times New Roman" w:hAnsi="Times New Roman"/>
                <w:sz w:val="18"/>
              </w:rPr>
              <w:t>Source metadata</w:t>
            </w:r>
          </w:p>
        </w:tc>
        <w:tc>
          <w:tcPr>
            <w:tcW w:type="dxa" w:w="3120"/>
            <w:vAlign w:val="center"/>
          </w:tcPr>
          <w:p>
            <w:pPr>
              <w:spacing w:line="240" w:lineRule="auto"/>
            </w:pPr>
            <w:r>
              <w:rPr>
                <w:rFonts w:ascii="Times New Roman" w:hAnsi="Times New Roman"/>
                <w:sz w:val="18"/>
              </w:rPr>
              <w:t>Citation, DOI, notes</w:t>
            </w:r>
          </w:p>
        </w:tc>
        <w:tc>
          <w:tcPr>
            <w:tcW w:type="dxa" w:w="3120"/>
            <w:vAlign w:val="center"/>
          </w:tcPr>
          <w:p>
            <w:pPr>
              <w:spacing w:line="240" w:lineRule="auto"/>
            </w:pPr>
            <w:r>
              <w:rPr>
                <w:rFonts w:ascii="Times New Roman" w:hAnsi="Times New Roman"/>
                <w:sz w:val="18"/>
              </w:rPr>
              <w:t>Supports auditability.</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4 hypothesis was supported. A model-ready degradation dataset cannot be built from polymer names and labels alone. The logic is that degradation outcomes depend on time, exposure, measurement method, and source context. If those variables are omitted, the model may learn artifacts from inconsistent reporting rather than chemistry.</w:t>
      </w:r>
    </w:p>
    <w:p>
      <w:pPr>
        <w:spacing w:line="480" w:lineRule="auto" w:after="0"/>
        <w:ind w:firstLine="720"/>
        <w:jc w:val="left"/>
      </w:pPr>
      <w:r>
        <w:rPr>
          <w:rFonts w:ascii="Times New Roman" w:hAnsi="Times New Roman"/>
          <w:b w:val="0"/>
          <w:i w:val="0"/>
          <w:sz w:val="24"/>
        </w:rPr>
        <w:t>Chen et al. (2021) support this claim through their discussion of polymer informatics data needs, while Lin et al. (2019) supports the representational side by showing why polymers require specialized notation. The limitation is that the schema was still preliminary and did not yet include enough extracted rows for statistical analysis. The next step was to begin baseline classification on an available descriptor dataset.</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Chen, L., Pilania, G., Batra, R., Huan, T. D., Kim, C., Kuenneth, C., &amp; Ramprasad, R. (2021). Polymer informatics: Current status and critical next steps. </w:t>
      </w:r>
      <w:r>
        <w:rPr>
          <w:rFonts w:ascii="Times New Roman" w:hAnsi="Times New Roman"/>
          <w:i/>
          <w:sz w:val="24"/>
        </w:rPr>
        <w:t>Materials Science and Engineering: R: Reports, 144</w:t>
      </w:r>
      <w:r>
        <w:rPr>
          <w:rFonts w:ascii="Times New Roman" w:hAnsi="Times New Roman"/>
          <w:i w:val="0"/>
          <w:sz w:val="24"/>
        </w:rPr>
        <w:t>, 100595. https://doi.org/10.1016/j.mser.2020.100595</w:t>
      </w:r>
    </w:p>
    <w:p>
      <w:pPr>
        <w:spacing w:line="480" w:lineRule="auto" w:after="0"/>
        <w:ind w:left="720" w:hanging="720"/>
      </w:pPr>
      <w:r>
        <w:rPr>
          <w:rFonts w:ascii="Times New Roman" w:hAnsi="Times New Roman"/>
          <w:i w:val="0"/>
          <w:sz w:val="24"/>
        </w:rPr>
        <w:t xml:space="preserve">Lin, T.-S., Coley, C. W., Mochigase, H., Beech, H. K., Wang, W., Wang, Z., Woods, E., Craig, S. L., Johnson, J. A., Kalow, J. A., Jensen, K. F., &amp; Olsen, B. D. (2019). BigSMILES: A structurally-based line notation for describing macromolecules. </w:t>
      </w:r>
      <w:r>
        <w:rPr>
          <w:rFonts w:ascii="Times New Roman" w:hAnsi="Times New Roman"/>
          <w:i/>
          <w:sz w:val="24"/>
        </w:rPr>
        <w:t>ACS Central Science, 5</w:t>
      </w:r>
      <w:r>
        <w:rPr>
          <w:rFonts w:ascii="Times New Roman" w:hAnsi="Times New Roman"/>
          <w:i w:val="0"/>
          <w:sz w:val="24"/>
        </w:rPr>
        <w:t>(9), 1523-1531. https://doi.org/10.1021/acscentsci.9b00476</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673929"/>
            <wp:docPr id="1" name="Picture 1"/>
            <wp:cNvGraphicFramePr>
              <a:graphicFrameLocks noChangeAspect="1"/>
            </wp:cNvGraphicFramePr>
            <a:graphic>
              <a:graphicData uri="http://schemas.openxmlformats.org/drawingml/2006/picture">
                <pic:pic>
                  <pic:nvPicPr>
                    <pic:cNvPr id="0" name="Week_04_Applied_Work_figure_1.png"/>
                    <pic:cNvPicPr/>
                  </pic:nvPicPr>
                  <pic:blipFill>
                    <a:blip r:embed="rId10"/>
                    <a:stretch>
                      <a:fillRect/>
                    </a:stretch>
                  </pic:blipFill>
                  <pic:spPr>
                    <a:xfrm>
                      <a:off x="0" y="0"/>
                      <a:ext cx="5715000" cy="3673929"/>
                    </a:xfrm>
                    <a:prstGeom prst="rect"/>
                  </pic:spPr>
                </pic:pic>
              </a:graphicData>
            </a:graphic>
          </wp:inline>
        </w:drawing>
      </w:r>
    </w:p>
    <w:p>
      <w:pPr>
        <w:spacing w:line="240" w:lineRule="auto" w:after="0"/>
        <w:jc w:val="center"/>
      </w:pPr>
      <w:r>
        <w:rPr>
          <w:rFonts w:ascii="Times New Roman" w:hAnsi="Times New Roman"/>
          <w:b w:val="0"/>
          <w:i/>
          <w:sz w:val="24"/>
        </w:rPr>
        <w:t>Figure A1. Dataset schema used to organize polymer, exposure, and outcome variables.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