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5 Applied Work: Baseline Classification of Ready Biodegradability</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5 was to move from schema design to baseline classification. The task was to predict biodegradability class, ready biodegradable (RB) versus not readily biodegradable (NRB), from the available 41 molecular descriptors.</w:t>
      </w:r>
    </w:p>
    <w:p>
      <w:pPr>
        <w:spacing w:line="480" w:lineRule="auto" w:after="0"/>
        <w:ind w:firstLine="720"/>
        <w:jc w:val="left"/>
      </w:pPr>
      <w:r>
        <w:rPr>
          <w:rFonts w:ascii="Times New Roman" w:hAnsi="Times New Roman"/>
          <w:b w:val="0"/>
          <w:i w:val="0"/>
          <w:sz w:val="24"/>
        </w:rPr>
        <w:t>The modeling task follows the ready-biodegradability QSAR literature. Mansouri et al. (2013) developed QSAR models for ready biodegradability, showing that molecular descriptors can support classification. Breiman (2001) introduced Random Forest as a robust nonlinear ensemble method. Therefore, the Week 5 research question was whether simple baseline models could establish a defensible performance reference for later neural-network work.</w:t>
      </w:r>
    </w:p>
    <w:p>
      <w:pPr>
        <w:spacing w:line="480" w:lineRule="auto" w:after="0"/>
        <w:ind w:firstLine="720"/>
        <w:jc w:val="left"/>
      </w:pPr>
      <w:r>
        <w:rPr>
          <w:rFonts w:ascii="Times New Roman" w:hAnsi="Times New Roman"/>
          <w:b w:val="0"/>
          <w:i w:val="0"/>
          <w:sz w:val="24"/>
        </w:rPr>
        <w:t>Research question. How well do Logistic Regression and Random Forest predict biodegradability class from molecular descriptors?</w:t>
      </w:r>
    </w:p>
    <w:p>
      <w:pPr>
        <w:spacing w:line="480" w:lineRule="auto" w:after="0"/>
        <w:ind w:firstLine="720"/>
        <w:jc w:val="left"/>
      </w:pPr>
      <w:r>
        <w:rPr>
          <w:rFonts w:ascii="Times New Roman" w:hAnsi="Times New Roman"/>
          <w:b w:val="0"/>
          <w:i w:val="0"/>
          <w:sz w:val="24"/>
        </w:rPr>
        <w:t>It was hypothesized that Random Forest would outperform Logistic Regression because nonlinear descriptor interactions may be important for biodegradability classification.</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The dataset contained 1,055 samples, with 699 NRB samples and 356 RB samples. This distribution is imbalanced, with approximately 66.3% NRB and 33.7% RB. The imbalance matters because a model can achieve high accuracy by favoring the majority class.</w:t>
      </w:r>
    </w:p>
    <w:p>
      <w:pPr>
        <w:spacing w:line="480" w:lineRule="auto" w:after="0"/>
        <w:ind w:firstLine="720"/>
        <w:jc w:val="left"/>
      </w:pPr>
      <w:r>
        <w:rPr>
          <w:rFonts w:ascii="Times New Roman" w:hAnsi="Times New Roman"/>
          <w:b w:val="0"/>
          <w:i w:val="0"/>
          <w:sz w:val="24"/>
        </w:rPr>
        <w:t>Two baseline classifiers were evaluated: Logistic Regression and Random Forest. Descriptors were used as model inputs, and the outcome was binary biodegradability class. Evaluation included accuracy, macro-F1, ROC-AUC, and confusion-matrix interpretation. A 50/50 train/test split and k-fold cross-validation were identified as necessary follow-up checks because the initial baseline should not be trusted from one split alone.</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Random Forest produced the strongest baseline performance, with accuracy of 0.8768, macro-F1 of 0.8529, and ROC-AUC of 0.9423. Logistic Regression achieved accuracy of 0.8626, macro-F1 of 0.8456, and ROC-AUC of 0.9136. These results indicate that nonlinear structure improved performance, although both models were useful baselines.</w:t>
      </w:r>
    </w:p>
    <w:p>
      <w:pPr>
        <w:spacing w:line="480" w:lineRule="auto" w:after="0"/>
        <w:ind w:firstLine="720"/>
        <w:jc w:val="left"/>
      </w:pPr>
      <w:r>
        <w:rPr>
          <w:rFonts w:ascii="Times New Roman" w:hAnsi="Times New Roman"/>
          <w:b w:val="0"/>
          <w:i w:val="0"/>
          <w:sz w:val="24"/>
        </w:rPr>
        <w:t>Appendix Figure A1 shows the class imbalance in the dataset, and Appendix Figure A2 summarizes the Week 5 baseline model performance.</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5 Baseline Classification of Ready Biodegradability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b/>
                <w:sz w:val="20"/>
              </w:rPr>
              <w:t>Model</w:t>
            </w:r>
          </w:p>
        </w:tc>
        <w:tc>
          <w:tcPr>
            <w:tcW w:type="dxa" w:w="2340"/>
            <w:vAlign w:val="center"/>
          </w:tcPr>
          <w:p>
            <w:pPr>
              <w:spacing w:line="240" w:lineRule="auto"/>
            </w:pPr>
            <w:r>
              <w:rPr>
                <w:rFonts w:ascii="Times New Roman" w:hAnsi="Times New Roman"/>
                <w:b/>
                <w:sz w:val="20"/>
              </w:rPr>
              <w:t>Accuracy</w:t>
            </w:r>
          </w:p>
        </w:tc>
        <w:tc>
          <w:tcPr>
            <w:tcW w:type="dxa" w:w="2340"/>
            <w:vAlign w:val="center"/>
          </w:tcPr>
          <w:p>
            <w:pPr>
              <w:spacing w:line="240" w:lineRule="auto"/>
            </w:pPr>
            <w:r>
              <w:rPr>
                <w:rFonts w:ascii="Times New Roman" w:hAnsi="Times New Roman"/>
                <w:b/>
                <w:sz w:val="20"/>
              </w:rPr>
              <w:t>Macro-F1</w:t>
            </w:r>
          </w:p>
        </w:tc>
        <w:tc>
          <w:tcPr>
            <w:tcW w:type="dxa" w:w="2340"/>
            <w:vAlign w:val="center"/>
          </w:tcPr>
          <w:p>
            <w:pPr>
              <w:spacing w:line="240" w:lineRule="auto"/>
            </w:pPr>
            <w:r>
              <w:rPr>
                <w:rFonts w:ascii="Times New Roman" w:hAnsi="Times New Roman"/>
                <w:b/>
                <w:sz w:val="20"/>
              </w:rPr>
              <w:t>ROC-AUC</w:t>
            </w:r>
          </w:p>
        </w:tc>
      </w:tr>
      <w:tr>
        <w:tc>
          <w:tcPr>
            <w:tcW w:type="dxa" w:w="2340"/>
            <w:vAlign w:val="center"/>
          </w:tcPr>
          <w:p>
            <w:pPr>
              <w:spacing w:line="240" w:lineRule="auto"/>
            </w:pPr>
            <w:r>
              <w:rPr>
                <w:rFonts w:ascii="Times New Roman" w:hAnsi="Times New Roman"/>
                <w:sz w:val="18"/>
              </w:rPr>
              <w:t>Logistic Regression</w:t>
            </w:r>
          </w:p>
        </w:tc>
        <w:tc>
          <w:tcPr>
            <w:tcW w:type="dxa" w:w="2340"/>
            <w:vAlign w:val="center"/>
          </w:tcPr>
          <w:p>
            <w:pPr>
              <w:spacing w:line="240" w:lineRule="auto"/>
            </w:pPr>
            <w:r>
              <w:rPr>
                <w:rFonts w:ascii="Times New Roman" w:hAnsi="Times New Roman"/>
                <w:sz w:val="18"/>
              </w:rPr>
              <w:t>0.8626</w:t>
            </w:r>
          </w:p>
        </w:tc>
        <w:tc>
          <w:tcPr>
            <w:tcW w:type="dxa" w:w="2340"/>
            <w:vAlign w:val="center"/>
          </w:tcPr>
          <w:p>
            <w:pPr>
              <w:spacing w:line="240" w:lineRule="auto"/>
            </w:pPr>
            <w:r>
              <w:rPr>
                <w:rFonts w:ascii="Times New Roman" w:hAnsi="Times New Roman"/>
                <w:sz w:val="18"/>
              </w:rPr>
              <w:t>0.8456</w:t>
            </w:r>
          </w:p>
        </w:tc>
        <w:tc>
          <w:tcPr>
            <w:tcW w:type="dxa" w:w="2340"/>
            <w:vAlign w:val="center"/>
          </w:tcPr>
          <w:p>
            <w:pPr>
              <w:spacing w:line="240" w:lineRule="auto"/>
            </w:pPr>
            <w:r>
              <w:rPr>
                <w:rFonts w:ascii="Times New Roman" w:hAnsi="Times New Roman"/>
                <w:sz w:val="18"/>
              </w:rPr>
              <w:t>0.9136</w:t>
            </w:r>
          </w:p>
        </w:tc>
      </w:tr>
      <w:tr>
        <w:tc>
          <w:tcPr>
            <w:tcW w:type="dxa" w:w="2340"/>
            <w:vAlign w:val="center"/>
          </w:tcPr>
          <w:p>
            <w:pPr>
              <w:spacing w:line="240" w:lineRule="auto"/>
            </w:pPr>
            <w:r>
              <w:rPr>
                <w:rFonts w:ascii="Times New Roman" w:hAnsi="Times New Roman"/>
                <w:sz w:val="18"/>
              </w:rPr>
              <w:t>Random Forest</w:t>
            </w:r>
          </w:p>
        </w:tc>
        <w:tc>
          <w:tcPr>
            <w:tcW w:type="dxa" w:w="2340"/>
            <w:vAlign w:val="center"/>
          </w:tcPr>
          <w:p>
            <w:pPr>
              <w:spacing w:line="240" w:lineRule="auto"/>
            </w:pPr>
            <w:r>
              <w:rPr>
                <w:rFonts w:ascii="Times New Roman" w:hAnsi="Times New Roman"/>
                <w:sz w:val="18"/>
              </w:rPr>
              <w:t>0.8768</w:t>
            </w:r>
          </w:p>
        </w:tc>
        <w:tc>
          <w:tcPr>
            <w:tcW w:type="dxa" w:w="2340"/>
            <w:vAlign w:val="center"/>
          </w:tcPr>
          <w:p>
            <w:pPr>
              <w:spacing w:line="240" w:lineRule="auto"/>
            </w:pPr>
            <w:r>
              <w:rPr>
                <w:rFonts w:ascii="Times New Roman" w:hAnsi="Times New Roman"/>
                <w:sz w:val="18"/>
              </w:rPr>
              <w:t>0.8529</w:t>
            </w:r>
          </w:p>
        </w:tc>
        <w:tc>
          <w:tcPr>
            <w:tcW w:type="dxa" w:w="2340"/>
            <w:vAlign w:val="center"/>
          </w:tcPr>
          <w:p>
            <w:pPr>
              <w:spacing w:line="240" w:lineRule="auto"/>
            </w:pPr>
            <w:r>
              <w:rPr>
                <w:rFonts w:ascii="Times New Roman" w:hAnsi="Times New Roman"/>
                <w:sz w:val="18"/>
              </w:rPr>
              <w:t>0.9423</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5 hypothesis was supported because Random Forest outperformed Logistic Regression across the main metrics. The logic behind this result is that Random Forest can model nonlinear feature interactions and threshold behavior among molecular descriptors, while Logistic Regression assumes a more linear decision boundary.</w:t>
      </w:r>
    </w:p>
    <w:p>
      <w:pPr>
        <w:spacing w:line="480" w:lineRule="auto" w:after="0"/>
        <w:ind w:firstLine="720"/>
        <w:jc w:val="left"/>
      </w:pPr>
      <w:r>
        <w:rPr>
          <w:rFonts w:ascii="Times New Roman" w:hAnsi="Times New Roman"/>
          <w:b w:val="0"/>
          <w:i w:val="0"/>
          <w:sz w:val="24"/>
        </w:rPr>
        <w:t>The most important limitation is class imbalance. Because RB samples are the minority class, accuracy alone is not sufficient. Macro-F1, ROC-AUC, and confusion matrices are required to determine whether the model is detecting RB compounds rather than mostly learning the NRB majority. Future work should test class weighting, SMOTE applied only to the training split, 50/50 splitting, and k-fold cross-validation.</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Breiman, L. (2001). Random forests. </w:t>
      </w:r>
      <w:r>
        <w:rPr>
          <w:rFonts w:ascii="Times New Roman" w:hAnsi="Times New Roman"/>
          <w:i/>
          <w:sz w:val="24"/>
        </w:rPr>
        <w:t>Machine Learning, 45</w:t>
      </w:r>
      <w:r>
        <w:rPr>
          <w:rFonts w:ascii="Times New Roman" w:hAnsi="Times New Roman"/>
          <w:i w:val="0"/>
          <w:sz w:val="24"/>
        </w:rPr>
        <w:t>(1), 5-32. https://doi.org/10.1023/A:1010933404324</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3469821"/>
            <wp:docPr id="1" name="Picture 1"/>
            <wp:cNvGraphicFramePr>
              <a:graphicFrameLocks noChangeAspect="1"/>
            </wp:cNvGraphicFramePr>
            <a:graphic>
              <a:graphicData uri="http://schemas.openxmlformats.org/drawingml/2006/picture">
                <pic:pic>
                  <pic:nvPicPr>
                    <pic:cNvPr id="0" name="Week_05_Applied_Work_figure_1.png"/>
                    <pic:cNvPicPr/>
                  </pic:nvPicPr>
                  <pic:blipFill>
                    <a:blip r:embed="rId10"/>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A1. Class imbalance in the QSAR biodegradation dataset.</w:t>
      </w:r>
    </w:p>
    <w:p>
      <w:r>
        <w:br w:type="page"/>
      </w:r>
    </w:p>
    <w:p>
      <w:pPr>
        <w:spacing w:line="480" w:lineRule="auto" w:after="0"/>
        <w:jc w:val="center"/>
      </w:pPr>
      <w:r>
        <w:rPr>
          <w:rFonts w:ascii="Times New Roman" w:hAnsi="Times New Roman"/>
          <w:b/>
          <w:i w:val="0"/>
          <w:sz w:val="24"/>
        </w:rPr>
        <w:t>Figure A2</w:t>
      </w:r>
    </w:p>
    <w:p>
      <w:pPr>
        <w:jc w:val="center"/>
      </w:pPr>
      <w:r>
        <w:drawing>
          <wp:inline xmlns:a="http://schemas.openxmlformats.org/drawingml/2006/main" xmlns:pic="http://schemas.openxmlformats.org/drawingml/2006/picture">
            <wp:extent cx="5715000" cy="3469821"/>
            <wp:docPr id="2" name="Picture 2"/>
            <wp:cNvGraphicFramePr>
              <a:graphicFrameLocks noChangeAspect="1"/>
            </wp:cNvGraphicFramePr>
            <a:graphic>
              <a:graphicData uri="http://schemas.openxmlformats.org/drawingml/2006/picture">
                <pic:pic>
                  <pic:nvPicPr>
                    <pic:cNvPr id="0" name="Week_05_Applied_Work_figure_2.png"/>
                    <pic:cNvPicPr/>
                  </pic:nvPicPr>
                  <pic:blipFill>
                    <a:blip r:embed="rId11"/>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A2. Baseline model performance for Week 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