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5 Outside Reading Report 1: Machine Learning for Molecular and Materials Science</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2018</w:t>
      </w:r>
    </w:p>
    <w:p>
      <w:pPr>
        <w:spacing w:line="480" w:lineRule="auto" w:after="0"/>
        <w:ind w:firstLine="720"/>
        <w:jc w:val="left"/>
      </w:pPr>
      <w:r>
        <w:rPr>
          <w:rFonts w:ascii="Times New Roman" w:hAnsi="Times New Roman"/>
          <w:b w:val="0"/>
          <w:i w:val="0"/>
          <w:sz w:val="24"/>
        </w:rPr>
        <w:t>Title: Machine learning for molecular and materials science</w:t>
      </w:r>
    </w:p>
    <w:p>
      <w:pPr>
        <w:spacing w:line="480" w:lineRule="auto" w:after="0"/>
        <w:ind w:firstLine="720"/>
        <w:jc w:val="left"/>
      </w:pPr>
      <w:r>
        <w:rPr>
          <w:rFonts w:ascii="Times New Roman" w:hAnsi="Times New Roman"/>
          <w:b w:val="0"/>
          <w:i w:val="0"/>
          <w:sz w:val="24"/>
        </w:rPr>
        <w:t>Contributors: Keith T. Butler, Daniel W. Davies, Hugh Cartwright, Olexandr Isayev, and Aron Walsh</w:t>
      </w:r>
    </w:p>
    <w:p>
      <w:pPr>
        <w:spacing w:line="480" w:lineRule="auto" w:after="0"/>
        <w:ind w:firstLine="720"/>
        <w:jc w:val="left"/>
      </w:pPr>
      <w:r>
        <w:rPr>
          <w:rFonts w:ascii="Times New Roman" w:hAnsi="Times New Roman"/>
          <w:b w:val="0"/>
          <w:i w:val="0"/>
          <w:sz w:val="24"/>
        </w:rPr>
        <w:t>Verified Source: Nature, 559(7715), 547-555. DOI: 10.1038/s41586-018-0337-2</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justifying careful baseline modeling and scientifically meaningful descriptors in Week 5. It gives the project a verified literature basis for discussing machine learning workflows for molecular and materials science, including representation and validation,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Butler et al. (2018) is important because it places machine learning workflows for molecular and materials science, including representation and validation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justifying careful baseline modeling and scientifically meaningful descriptors in Week 5.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machine learning workflows for molecular and materials science, including representation and validation,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machine learning workflows for molecular and materials science, including representation and validation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justifying careful baseline modeling and scientifically meaningful descriptors in Week 5,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justifying careful baseline modeling and scientifically meaningful descriptors in Week 5,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descriptor: a numerical feature that captures chemical, structural, or physical information.</w:t>
      </w:r>
    </w:p>
    <w:p>
      <w:pPr>
        <w:spacing w:line="480" w:lineRule="auto" w:after="0"/>
        <w:ind w:firstLine="720"/>
        <w:jc w:val="left"/>
      </w:pPr>
      <w:r>
        <w:rPr>
          <w:rFonts w:ascii="Times New Roman" w:hAnsi="Times New Roman"/>
          <w:b w:val="0"/>
          <w:i w:val="0"/>
          <w:sz w:val="24"/>
        </w:rPr>
        <w:t>training data: examples used to fit a model.</w:t>
      </w:r>
    </w:p>
    <w:p>
      <w:pPr>
        <w:spacing w:line="480" w:lineRule="auto" w:after="0"/>
        <w:ind w:firstLine="720"/>
        <w:jc w:val="left"/>
      </w:pPr>
      <w:r>
        <w:rPr>
          <w:rFonts w:ascii="Times New Roman" w:hAnsi="Times New Roman"/>
          <w:b w:val="0"/>
          <w:i w:val="0"/>
          <w:sz w:val="24"/>
        </w:rPr>
        <w:t>validation: testing whether a model generalizes beyond training data.</w:t>
      </w:r>
    </w:p>
    <w:p>
      <w:pPr>
        <w:spacing w:line="480" w:lineRule="auto" w:after="0"/>
        <w:ind w:firstLine="720"/>
        <w:jc w:val="left"/>
      </w:pPr>
      <w:r>
        <w:rPr>
          <w:rFonts w:ascii="Times New Roman" w:hAnsi="Times New Roman"/>
          <w:b w:val="0"/>
          <w:i w:val="0"/>
          <w:sz w:val="24"/>
        </w:rPr>
        <w:t>materials informatics: data-driven study of materials properties and design.</w:t>
      </w:r>
    </w:p>
    <w:p>
      <w:pPr>
        <w:spacing w:line="480" w:lineRule="auto" w:after="0"/>
        <w:ind w:firstLine="720"/>
        <w:jc w:val="left"/>
      </w:pPr>
      <w:r>
        <w:rPr>
          <w:rFonts w:ascii="Times New Roman" w:hAnsi="Times New Roman"/>
          <w:b w:val="0"/>
          <w:i w:val="0"/>
          <w:sz w:val="24"/>
        </w:rPr>
        <w:t>model generalization: the ability of a model to perform well on new data.</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Butler, K. T., Davies, D. W., Cartwright, H., Isayev, O., &amp; Walsh, A. (2018). Machine learning for molecular and materials science. </w:t>
      </w:r>
      <w:r>
        <w:rPr>
          <w:rFonts w:ascii="Times New Roman" w:hAnsi="Times New Roman"/>
          <w:i/>
          <w:sz w:val="24"/>
        </w:rPr>
        <w:t>Nature, 559</w:t>
      </w:r>
      <w:r>
        <w:rPr>
          <w:rFonts w:ascii="Times New Roman" w:hAnsi="Times New Roman"/>
          <w:i w:val="0"/>
          <w:sz w:val="24"/>
        </w:rPr>
        <w:t>(7715), 547-555. https://doi.org/10.1038/s41586-018-0337-2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