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6 Applied Work: Feedforward Neural Network for Biodegradability Classification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6 was to implement a feedforward neural network (FNN) using the same descriptor-based biodegradability dataset evaluated in Week 5. The goal was not only to report accuracy but to compare the neural network against the earlier Logistic Regression and Random Forest baselines.</w:t>
      </w:r>
    </w:p>
    <w:p>
      <w:pPr>
        <w:spacing w:line="480" w:lineRule="auto" w:after="0"/>
        <w:ind w:firstLine="720"/>
        <w:jc w:val="left"/>
      </w:pPr>
      <w:r>
        <w:rPr>
          <w:rFonts w:ascii="Times New Roman" w:hAnsi="Times New Roman"/>
          <w:b w:val="0"/>
          <w:i w:val="0"/>
          <w:sz w:val="24"/>
        </w:rPr>
        <w:t>The neural-network experiment builds on standard deep-learning concepts described by Goodfellow et al. (2016) and on the same ready-biodegradability QSAR task described by Mansouri et al. (2013). The research question was whether a neural network could improve classification behavior while maintaining interpretable evaluation through confusion matrices and class-level analysis.</w:t>
      </w:r>
    </w:p>
    <w:p>
      <w:pPr>
        <w:spacing w:line="480" w:lineRule="auto" w:after="0"/>
        <w:ind w:firstLine="720"/>
        <w:jc w:val="left"/>
      </w:pPr>
      <w:r>
        <w:rPr>
          <w:rFonts w:ascii="Times New Roman" w:hAnsi="Times New Roman"/>
          <w:b w:val="0"/>
          <w:i w:val="0"/>
          <w:sz w:val="24"/>
        </w:rPr>
        <w:t>Research question. Can a feedforward neural network improve on the Week 5 baseline models for RB versus NRB classification?</w:t>
      </w:r>
    </w:p>
    <w:p>
      <w:pPr>
        <w:spacing w:line="480" w:lineRule="auto" w:after="0"/>
        <w:ind w:firstLine="720"/>
        <w:jc w:val="left"/>
      </w:pPr>
      <w:r>
        <w:rPr>
          <w:rFonts w:ascii="Times New Roman" w:hAnsi="Times New Roman"/>
          <w:b w:val="0"/>
          <w:i w:val="0"/>
          <w:sz w:val="24"/>
        </w:rPr>
        <w:t>It was hypothesized that an FNN could learn nonlinear descriptor interactions, but that performance would depend on tuning and class-imbalance handling.</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The FNN used the 41 molecular descriptors as inputs and predicted the binary biodegradability class. The model was evaluated against the Week 5 baseline metrics, with particular attention to confusion-matrix behavior because the dataset was imbalanced.</w:t>
      </w:r>
    </w:p>
    <w:p>
      <w:pPr>
        <w:spacing w:line="480" w:lineRule="auto" w:after="0"/>
        <w:ind w:firstLine="720"/>
        <w:jc w:val="left"/>
      </w:pPr>
      <w:r>
        <w:rPr>
          <w:rFonts w:ascii="Times New Roman" w:hAnsi="Times New Roman"/>
          <w:b w:val="0"/>
          <w:i w:val="0"/>
          <w:sz w:val="24"/>
        </w:rPr>
        <w:t>The dataset still contained 699 NRB samples and 356 RB samples. In the held-out split represented by the confusion matrix, there were 140 NRB and 71 RB samples. This imbalance required class-level interpretation because minority-class errors could be hidden by overall accuracy.</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FNN confusion matrix showed 125 correctly classified NRB samples, 15 NRB samples misclassified as RB, 49 correctly classified RB samples, and 22 RB samples misclassified as NRB. The FNN achieved accuracy of 0.8246 and ROC-AUC of 0.9025, which did not surpass the Random Forest baseline.</w:t>
      </w:r>
    </w:p>
    <w:p>
      <w:pPr>
        <w:spacing w:line="480" w:lineRule="auto" w:after="0"/>
        <w:ind w:firstLine="720"/>
        <w:jc w:val="left"/>
      </w:pPr>
      <w:r>
        <w:rPr>
          <w:rFonts w:ascii="Times New Roman" w:hAnsi="Times New Roman"/>
          <w:b w:val="0"/>
          <w:i w:val="0"/>
          <w:sz w:val="24"/>
        </w:rPr>
        <w:t>Appendix Figure A1 presents the FNN confusion matrix, and Appendix Figure A2 compares the neural-network performance with the Week 5 baselines.</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6 Feedforward Neural Network for Biodegradability Classification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b/>
                <w:sz w:val="20"/>
              </w:rPr>
              <w:t>Model</w:t>
            </w:r>
          </w:p>
        </w:tc>
        <w:tc>
          <w:tcPr>
            <w:tcW w:type="dxa" w:w="2340"/>
            <w:vAlign w:val="center"/>
          </w:tcPr>
          <w:p>
            <w:pPr>
              <w:spacing w:line="240" w:lineRule="auto"/>
            </w:pPr>
            <w:r>
              <w:rPr>
                <w:rFonts w:ascii="Times New Roman" w:hAnsi="Times New Roman"/>
                <w:b/>
                <w:sz w:val="20"/>
              </w:rPr>
              <w:t>Accuracy</w:t>
            </w:r>
          </w:p>
        </w:tc>
        <w:tc>
          <w:tcPr>
            <w:tcW w:type="dxa" w:w="2340"/>
            <w:vAlign w:val="center"/>
          </w:tcPr>
          <w:p>
            <w:pPr>
              <w:spacing w:line="240" w:lineRule="auto"/>
            </w:pPr>
            <w:r>
              <w:rPr>
                <w:rFonts w:ascii="Times New Roman" w:hAnsi="Times New Roman"/>
                <w:b/>
                <w:sz w:val="20"/>
              </w:rPr>
              <w:t>ROC-AUC</w:t>
            </w:r>
          </w:p>
        </w:tc>
        <w:tc>
          <w:tcPr>
            <w:tcW w:type="dxa" w:w="2340"/>
            <w:vAlign w:val="center"/>
          </w:tcPr>
          <w:p>
            <w:pPr>
              <w:spacing w:line="240" w:lineRule="auto"/>
            </w:pPr>
            <w:r>
              <w:rPr>
                <w:rFonts w:ascii="Times New Roman" w:hAnsi="Times New Roman"/>
                <w:b/>
                <w:sz w:val="20"/>
              </w:rPr>
              <w:t>Interpretation</w:t>
            </w:r>
          </w:p>
        </w:tc>
      </w:tr>
      <w:tr>
        <w:tc>
          <w:tcPr>
            <w:tcW w:type="dxa" w:w="2340"/>
            <w:vAlign w:val="center"/>
          </w:tcPr>
          <w:p>
            <w:pPr>
              <w:spacing w:line="240" w:lineRule="auto"/>
            </w:pPr>
            <w:r>
              <w:rPr>
                <w:rFonts w:ascii="Times New Roman" w:hAnsi="Times New Roman"/>
                <w:sz w:val="18"/>
              </w:rPr>
              <w:t>Logistic Regression</w:t>
            </w:r>
          </w:p>
        </w:tc>
        <w:tc>
          <w:tcPr>
            <w:tcW w:type="dxa" w:w="2340"/>
            <w:vAlign w:val="center"/>
          </w:tcPr>
          <w:p>
            <w:pPr>
              <w:spacing w:line="240" w:lineRule="auto"/>
            </w:pPr>
            <w:r>
              <w:rPr>
                <w:rFonts w:ascii="Times New Roman" w:hAnsi="Times New Roman"/>
                <w:sz w:val="18"/>
              </w:rPr>
              <w:t>0.8626</w:t>
            </w:r>
          </w:p>
        </w:tc>
        <w:tc>
          <w:tcPr>
            <w:tcW w:type="dxa" w:w="2340"/>
            <w:vAlign w:val="center"/>
          </w:tcPr>
          <w:p>
            <w:pPr>
              <w:spacing w:line="240" w:lineRule="auto"/>
            </w:pPr>
            <w:r>
              <w:rPr>
                <w:rFonts w:ascii="Times New Roman" w:hAnsi="Times New Roman"/>
                <w:sz w:val="18"/>
              </w:rPr>
              <w:t>0.9136</w:t>
            </w:r>
          </w:p>
        </w:tc>
        <w:tc>
          <w:tcPr>
            <w:tcW w:type="dxa" w:w="2340"/>
            <w:vAlign w:val="center"/>
          </w:tcPr>
          <w:p>
            <w:pPr>
              <w:spacing w:line="240" w:lineRule="auto"/>
            </w:pPr>
            <w:r>
              <w:rPr>
                <w:rFonts w:ascii="Times New Roman" w:hAnsi="Times New Roman"/>
                <w:sz w:val="18"/>
              </w:rPr>
              <w:t>Strong linear baseline.</w:t>
            </w:r>
          </w:p>
        </w:tc>
      </w:tr>
      <w:tr>
        <w:tc>
          <w:tcPr>
            <w:tcW w:type="dxa" w:w="2340"/>
            <w:vAlign w:val="center"/>
          </w:tcPr>
          <w:p>
            <w:pPr>
              <w:spacing w:line="240" w:lineRule="auto"/>
            </w:pPr>
            <w:r>
              <w:rPr>
                <w:rFonts w:ascii="Times New Roman" w:hAnsi="Times New Roman"/>
                <w:sz w:val="18"/>
              </w:rPr>
              <w:t>Random Forest</w:t>
            </w:r>
          </w:p>
        </w:tc>
        <w:tc>
          <w:tcPr>
            <w:tcW w:type="dxa" w:w="2340"/>
            <w:vAlign w:val="center"/>
          </w:tcPr>
          <w:p>
            <w:pPr>
              <w:spacing w:line="240" w:lineRule="auto"/>
            </w:pPr>
            <w:r>
              <w:rPr>
                <w:rFonts w:ascii="Times New Roman" w:hAnsi="Times New Roman"/>
                <w:sz w:val="18"/>
              </w:rPr>
              <w:t>0.8768</w:t>
            </w:r>
          </w:p>
        </w:tc>
        <w:tc>
          <w:tcPr>
            <w:tcW w:type="dxa" w:w="2340"/>
            <w:vAlign w:val="center"/>
          </w:tcPr>
          <w:p>
            <w:pPr>
              <w:spacing w:line="240" w:lineRule="auto"/>
            </w:pPr>
            <w:r>
              <w:rPr>
                <w:rFonts w:ascii="Times New Roman" w:hAnsi="Times New Roman"/>
                <w:sz w:val="18"/>
              </w:rPr>
              <w:t>0.9423</w:t>
            </w:r>
          </w:p>
        </w:tc>
        <w:tc>
          <w:tcPr>
            <w:tcW w:type="dxa" w:w="2340"/>
            <w:vAlign w:val="center"/>
          </w:tcPr>
          <w:p>
            <w:pPr>
              <w:spacing w:line="240" w:lineRule="auto"/>
            </w:pPr>
            <w:r>
              <w:rPr>
                <w:rFonts w:ascii="Times New Roman" w:hAnsi="Times New Roman"/>
                <w:sz w:val="18"/>
              </w:rPr>
              <w:t>Best Week 5 baseline.</w:t>
            </w:r>
          </w:p>
        </w:tc>
      </w:tr>
      <w:tr>
        <w:tc>
          <w:tcPr>
            <w:tcW w:type="dxa" w:w="2340"/>
            <w:vAlign w:val="center"/>
          </w:tcPr>
          <w:p>
            <w:pPr>
              <w:spacing w:line="240" w:lineRule="auto"/>
            </w:pPr>
            <w:r>
              <w:rPr>
                <w:rFonts w:ascii="Times New Roman" w:hAnsi="Times New Roman"/>
                <w:sz w:val="18"/>
              </w:rPr>
              <w:t>FNN</w:t>
            </w:r>
          </w:p>
        </w:tc>
        <w:tc>
          <w:tcPr>
            <w:tcW w:type="dxa" w:w="2340"/>
            <w:vAlign w:val="center"/>
          </w:tcPr>
          <w:p>
            <w:pPr>
              <w:spacing w:line="240" w:lineRule="auto"/>
            </w:pPr>
            <w:r>
              <w:rPr>
                <w:rFonts w:ascii="Times New Roman" w:hAnsi="Times New Roman"/>
                <w:sz w:val="18"/>
              </w:rPr>
              <w:t>0.8246</w:t>
            </w:r>
          </w:p>
        </w:tc>
        <w:tc>
          <w:tcPr>
            <w:tcW w:type="dxa" w:w="2340"/>
            <w:vAlign w:val="center"/>
          </w:tcPr>
          <w:p>
            <w:pPr>
              <w:spacing w:line="240" w:lineRule="auto"/>
            </w:pPr>
            <w:r>
              <w:rPr>
                <w:rFonts w:ascii="Times New Roman" w:hAnsi="Times New Roman"/>
                <w:sz w:val="18"/>
              </w:rPr>
              <w:t>0.9025</w:t>
            </w:r>
          </w:p>
        </w:tc>
        <w:tc>
          <w:tcPr>
            <w:tcW w:type="dxa" w:w="2340"/>
            <w:vAlign w:val="center"/>
          </w:tcPr>
          <w:p>
            <w:pPr>
              <w:spacing w:line="240" w:lineRule="auto"/>
            </w:pPr>
            <w:r>
              <w:rPr>
                <w:rFonts w:ascii="Times New Roman" w:hAnsi="Times New Roman"/>
                <w:sz w:val="18"/>
              </w:rPr>
              <w:t>Useful but undertuned for this dataset.</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6 hypothesis was only partially supported. The FNN learned useful patterns, but it did not outperform the Random Forest. The logic behind this result is that neural networks often require more extensive tuning, more data, and stronger regularization than classical models when working with small tabular descriptor datasets.</w:t>
      </w:r>
    </w:p>
    <w:p>
      <w:pPr>
        <w:spacing w:line="480" w:lineRule="auto" w:after="0"/>
        <w:ind w:firstLine="720"/>
        <w:jc w:val="left"/>
      </w:pPr>
      <w:r>
        <w:rPr>
          <w:rFonts w:ascii="Times New Roman" w:hAnsi="Times New Roman"/>
          <w:b w:val="0"/>
          <w:i w:val="0"/>
          <w:sz w:val="24"/>
        </w:rPr>
        <w:t>Class imbalance also affected interpretation. The RB class was smaller, and the confusion matrix showed that RB samples were still misclassified as NRB. This supports the need for class weighting, SMOTE on the training split only, threshold adjustment, and k-fold cross-validation. The main next step was to continue exploring neural-network structure while remaining skeptical of accuracy-only claims.</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Goodfellow, I., Bengio, Y., &amp; Courville, A. (2016). </w:t>
      </w:r>
      <w:r>
        <w:rPr>
          <w:rFonts w:ascii="Times New Roman" w:hAnsi="Times New Roman"/>
          <w:i/>
          <w:sz w:val="24"/>
        </w:rPr>
        <w:t>Deep learning</w:t>
      </w:r>
      <w:r>
        <w:rPr>
          <w:rFonts w:ascii="Times New Roman" w:hAnsi="Times New Roman"/>
          <w:i w:val="0"/>
          <w:sz w:val="24"/>
        </w:rPr>
        <w:t>. MIT Press.</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4857750"/>
            <wp:docPr id="1" name="Picture 1"/>
            <wp:cNvGraphicFramePr>
              <a:graphicFrameLocks noChangeAspect="1"/>
            </wp:cNvGraphicFramePr>
            <a:graphic>
              <a:graphicData uri="http://schemas.openxmlformats.org/drawingml/2006/picture">
                <pic:pic>
                  <pic:nvPicPr>
                    <pic:cNvPr id="0" name="Week_06_Applied_Work_figure_1.png"/>
                    <pic:cNvPicPr/>
                  </pic:nvPicPr>
                  <pic:blipFill>
                    <a:blip r:embed="rId10"/>
                    <a:stretch>
                      <a:fillRect/>
                    </a:stretch>
                  </pic:blipFill>
                  <pic:spPr>
                    <a:xfrm>
                      <a:off x="0" y="0"/>
                      <a:ext cx="5715000" cy="4857750"/>
                    </a:xfrm>
                    <a:prstGeom prst="rect"/>
                  </pic:spPr>
                </pic:pic>
              </a:graphicData>
            </a:graphic>
          </wp:inline>
        </w:drawing>
      </w:r>
    </w:p>
    <w:p>
      <w:pPr>
        <w:spacing w:line="240" w:lineRule="auto" w:after="0"/>
        <w:jc w:val="center"/>
      </w:pPr>
      <w:r>
        <w:rPr>
          <w:rFonts w:ascii="Times New Roman" w:hAnsi="Times New Roman"/>
          <w:b w:val="0"/>
          <w:i/>
          <w:sz w:val="24"/>
        </w:rPr>
        <w:t>Figure A1. Week 6 FNN confusion matrix.</w:t>
      </w:r>
    </w:p>
    <w:p>
      <w:r>
        <w:br w:type="page"/>
      </w:r>
    </w:p>
    <w:p>
      <w:pPr>
        <w:spacing w:line="480" w:lineRule="auto" w:after="0"/>
        <w:jc w:val="center"/>
      </w:pPr>
      <w:r>
        <w:rPr>
          <w:rFonts w:ascii="Times New Roman" w:hAnsi="Times New Roman"/>
          <w:b/>
          <w:i w:val="0"/>
          <w:sz w:val="24"/>
        </w:rPr>
        <w:t>Figure A2</w:t>
      </w:r>
    </w:p>
    <w:p>
      <w:pPr>
        <w:jc w:val="center"/>
      </w:pPr>
      <w:r>
        <w:drawing>
          <wp:inline xmlns:a="http://schemas.openxmlformats.org/drawingml/2006/main" xmlns:pic="http://schemas.openxmlformats.org/drawingml/2006/picture">
            <wp:extent cx="5715000" cy="3469821"/>
            <wp:docPr id="2" name="Picture 2"/>
            <wp:cNvGraphicFramePr>
              <a:graphicFrameLocks noChangeAspect="1"/>
            </wp:cNvGraphicFramePr>
            <a:graphic>
              <a:graphicData uri="http://schemas.openxmlformats.org/drawingml/2006/picture">
                <pic:pic>
                  <pic:nvPicPr>
                    <pic:cNvPr id="0" name="Week_06_Applied_Work_figure_2.png"/>
                    <pic:cNvPicPr/>
                  </pic:nvPicPr>
                  <pic:blipFill>
                    <a:blip r:embed="rId11"/>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A2. Week 6 neural network performance compared with Week 5 baselines.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