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line="480" w:lineRule="auto" w:after="0"/>
        <w:jc w:val="center"/>
      </w:pPr>
      <w:r>
        <w:rPr>
          <w:rFonts w:ascii="Times New Roman" w:hAnsi="Times New Roman"/>
          <w:b/>
          <w:i w:val="0"/>
          <w:sz w:val="24"/>
        </w:rPr>
        <w:t>Week 7 Applied Work: Descriptor-Graph Prototype for Biodegradability Prediction</w:t>
      </w:r>
    </w:p>
    <w:p>
      <w:pPr>
        <w:spacing w:line="480" w:lineRule="auto" w:after="0"/>
        <w:jc w:val="center"/>
      </w:pPr>
      <w:r>
        <w:rPr>
          <w:rFonts w:ascii="Times New Roman" w:hAnsi="Times New Roman"/>
          <w:b w:val="0"/>
          <w:i w:val="0"/>
          <w:sz w:val="24"/>
        </w:rPr>
        <w:t>Aryamann Zutshi</w:t>
      </w:r>
    </w:p>
    <w:p>
      <w:pPr>
        <w:spacing w:line="480" w:lineRule="auto" w:after="0"/>
        <w:jc w:val="center"/>
      </w:pPr>
      <w:r>
        <w:rPr>
          <w:rFonts w:ascii="Times New Roman" w:hAnsi="Times New Roman"/>
          <w:b w:val="0"/>
          <w:i w:val="0"/>
          <w:sz w:val="24"/>
        </w:rPr>
        <w:t>University of Kansas</w:t>
      </w:r>
    </w:p>
    <w:p>
      <w:pPr>
        <w:spacing w:line="480" w:lineRule="auto" w:after="0"/>
        <w:jc w:val="center"/>
      </w:pPr>
      <w:r>
        <w:rPr>
          <w:rFonts w:ascii="Times New Roman" w:hAnsi="Times New Roman"/>
          <w:b w:val="0"/>
          <w:i w:val="0"/>
          <w:sz w:val="24"/>
        </w:rPr>
        <w:t>EECS 692: Predicting Plastic Degradation Pathways with Machine Learning</w:t>
      </w:r>
    </w:p>
    <w:p>
      <w:pPr>
        <w:spacing w:line="480" w:lineRule="auto" w:after="0"/>
        <w:jc w:val="center"/>
      </w:pPr>
      <w:r>
        <w:rPr>
          <w:rFonts w:ascii="Times New Roman" w:hAnsi="Times New Roman"/>
          <w:b w:val="0"/>
          <w:i w:val="0"/>
          <w:sz w:val="24"/>
        </w:rPr>
        <w:t>Professor David Johnson</w:t>
      </w:r>
    </w:p>
    <w:p>
      <w:pPr>
        <w:spacing w:line="480" w:lineRule="auto" w:after="0"/>
        <w:jc w:val="center"/>
      </w:pPr>
      <w:r>
        <w:rPr>
          <w:rFonts w:ascii="Times New Roman" w:hAnsi="Times New Roman"/>
          <w:b w:val="0"/>
          <w:i w:val="0"/>
          <w:sz w:val="24"/>
        </w:rPr>
        <w:t>May 24, 2026</w:t>
      </w:r>
    </w:p>
    <w:p>
      <w:r>
        <w:br w:type="page"/>
      </w:r>
    </w:p>
    <w:p>
      <w:pPr>
        <w:pStyle w:val="Heading1"/>
        <w:spacing w:line="480" w:lineRule="auto" w:after="0"/>
        <w:jc w:val="center"/>
      </w:pPr>
      <w:r>
        <w:rPr>
          <w:rFonts w:ascii="Times New Roman" w:hAnsi="Times New Roman"/>
          <w:b/>
          <w:i w:val="0"/>
          <w:sz w:val="24"/>
        </w:rPr>
        <w:t>Introduction</w:t>
      </w:r>
    </w:p>
    <w:p>
      <w:pPr>
        <w:spacing w:line="480" w:lineRule="auto" w:after="0"/>
        <w:ind w:firstLine="720"/>
        <w:jc w:val="left"/>
      </w:pPr>
      <w:r>
        <w:rPr>
          <w:rFonts w:ascii="Times New Roman" w:hAnsi="Times New Roman"/>
          <w:b w:val="0"/>
          <w:i w:val="0"/>
          <w:sz w:val="24"/>
        </w:rPr>
        <w:t>The purpose of Week 7 was to explore whether graph-inspired modeling could improve the biodegradability prediction task. This was a natural next step after QSAR baselines and the FNN because polymer degradation is ultimately controlled by chemical structure and local bonding environments.</w:t>
      </w:r>
    </w:p>
    <w:p>
      <w:pPr>
        <w:spacing w:line="480" w:lineRule="auto" w:after="0"/>
        <w:ind w:firstLine="720"/>
        <w:jc w:val="left"/>
      </w:pPr>
      <w:r>
        <w:rPr>
          <w:rFonts w:ascii="Times New Roman" w:hAnsi="Times New Roman"/>
          <w:b w:val="0"/>
          <w:i w:val="0"/>
          <w:sz w:val="24"/>
        </w:rPr>
        <w:t>The key distinction is that true graph neural networks require meaningful nodes, edges, and message passing. Wieder et al. (2020) describe molecular property prediction with graph neural networks as dependent on molecular graph structure. Therefore, the Week 7 research question was whether the available descriptor-based data could support a graph-style prototype without overclaiming it as a chemically complete GNN.</w:t>
      </w:r>
    </w:p>
    <w:p>
      <w:pPr>
        <w:spacing w:line="480" w:lineRule="auto" w:after="0"/>
        <w:ind w:firstLine="720"/>
        <w:jc w:val="left"/>
      </w:pPr>
      <w:r>
        <w:rPr>
          <w:rFonts w:ascii="Times New Roman" w:hAnsi="Times New Roman"/>
          <w:b w:val="0"/>
          <w:i w:val="0"/>
          <w:sz w:val="24"/>
        </w:rPr>
        <w:t>Research question. Does a descriptor-graph prototype improve biodegradability prediction compared with descriptor-only baselines?</w:t>
      </w:r>
    </w:p>
    <w:p>
      <w:pPr>
        <w:spacing w:line="480" w:lineRule="auto" w:after="0"/>
        <w:ind w:firstLine="720"/>
        <w:jc w:val="left"/>
      </w:pPr>
      <w:r>
        <w:rPr>
          <w:rFonts w:ascii="Times New Roman" w:hAnsi="Times New Roman"/>
          <w:b w:val="0"/>
          <w:i w:val="0"/>
          <w:sz w:val="24"/>
        </w:rPr>
        <w:t>It was hypothesized that graph-style structure could eventually help, but that a prototype built from descriptor vectors rather than true molecular graphs would underperform chemically grounded descriptor baselines.</w:t>
      </w:r>
    </w:p>
    <w:p>
      <w:r>
        <w:br w:type="page"/>
      </w:r>
    </w:p>
    <w:p>
      <w:pPr>
        <w:pStyle w:val="Heading1"/>
        <w:spacing w:line="480" w:lineRule="auto" w:after="0"/>
        <w:jc w:val="center"/>
      </w:pPr>
      <w:r>
        <w:rPr>
          <w:rFonts w:ascii="Times New Roman" w:hAnsi="Times New Roman"/>
          <w:b/>
          <w:i w:val="0"/>
          <w:sz w:val="24"/>
        </w:rPr>
        <w:t>Methods and Materials</w:t>
      </w:r>
    </w:p>
    <w:p>
      <w:pPr>
        <w:spacing w:line="480" w:lineRule="auto" w:after="0"/>
        <w:ind w:firstLine="720"/>
        <w:jc w:val="left"/>
      </w:pPr>
      <w:r>
        <w:rPr>
          <w:rFonts w:ascii="Times New Roman" w:hAnsi="Times New Roman"/>
          <w:b w:val="0"/>
          <w:i w:val="0"/>
          <w:sz w:val="24"/>
        </w:rPr>
        <w:t>A descriptor-graph prototype was evaluated using the available descriptor representation. The model was compared with earlier Logistic Regression, Random Forest, and FNN results. Evaluation focused on accuracy, ROC-AUC, and the confusion matrix.</w:t>
      </w:r>
    </w:p>
    <w:p>
      <w:pPr>
        <w:spacing w:line="480" w:lineRule="auto" w:after="0"/>
        <w:ind w:firstLine="720"/>
        <w:jc w:val="left"/>
      </w:pPr>
      <w:r>
        <w:rPr>
          <w:rFonts w:ascii="Times New Roman" w:hAnsi="Times New Roman"/>
          <w:b w:val="0"/>
          <w:i w:val="0"/>
          <w:sz w:val="24"/>
        </w:rPr>
        <w:t>Because the available dataset did not include atom-level graph structure, the graph prototype was treated as exploratory. This distinction is important for scientific honesty: a descriptor-derived graph is not equivalent to a polymer molecular graph.</w:t>
      </w:r>
    </w:p>
    <w:p>
      <w:r>
        <w:br w:type="page"/>
      </w:r>
    </w:p>
    <w:p>
      <w:pPr>
        <w:pStyle w:val="Heading1"/>
        <w:spacing w:line="480" w:lineRule="auto" w:after="0"/>
        <w:jc w:val="center"/>
      </w:pPr>
      <w:r>
        <w:rPr>
          <w:rFonts w:ascii="Times New Roman" w:hAnsi="Times New Roman"/>
          <w:b/>
          <w:i w:val="0"/>
          <w:sz w:val="24"/>
        </w:rPr>
        <w:t>Results</w:t>
      </w:r>
    </w:p>
    <w:p>
      <w:pPr>
        <w:spacing w:line="480" w:lineRule="auto" w:after="0"/>
        <w:ind w:firstLine="720"/>
        <w:jc w:val="left"/>
      </w:pPr>
      <w:r>
        <w:rPr>
          <w:rFonts w:ascii="Times New Roman" w:hAnsi="Times New Roman"/>
          <w:b w:val="0"/>
          <w:i w:val="0"/>
          <w:sz w:val="24"/>
        </w:rPr>
        <w:t>The descriptor-graph prototype underperformed the earlier baselines. Its confusion matrix showed 117 correctly classified NRB samples, 23 NRB samples misclassified as RB, 30 correctly classified RB samples, and 41 RB samples misclassified as NRB. Its accuracy was approximately 0.6967 and ROC-AUC was approximately 0.7689.</w:t>
      </w:r>
    </w:p>
    <w:p>
      <w:pPr>
        <w:spacing w:line="480" w:lineRule="auto" w:after="0"/>
        <w:ind w:firstLine="720"/>
        <w:jc w:val="left"/>
      </w:pPr>
      <w:r>
        <w:rPr>
          <w:rFonts w:ascii="Times New Roman" w:hAnsi="Times New Roman"/>
          <w:b w:val="0"/>
          <w:i w:val="0"/>
          <w:sz w:val="24"/>
        </w:rPr>
        <w:t>Appendix Figure A1 presents the descriptor-graph confusion matrix, and Appendix Figure A2 compares its performance with earlier baselines.</w:t>
      </w:r>
    </w:p>
    <w:p>
      <w:pPr>
        <w:spacing w:line="480" w:lineRule="auto" w:after="0"/>
        <w:jc w:val="center"/>
      </w:pPr>
      <w:r>
        <w:rPr>
          <w:rFonts w:ascii="Times New Roman" w:hAnsi="Times New Roman"/>
          <w:b/>
          <w:i w:val="0"/>
          <w:sz w:val="24"/>
        </w:rPr>
        <w:t>Table 1</w:t>
      </w:r>
    </w:p>
    <w:p>
      <w:pPr>
        <w:spacing w:line="480" w:lineRule="auto" w:after="0"/>
        <w:jc w:val="center"/>
      </w:pPr>
      <w:r>
        <w:rPr>
          <w:rFonts w:ascii="Times New Roman" w:hAnsi="Times New Roman"/>
          <w:b w:val="0"/>
          <w:i/>
          <w:sz w:val="24"/>
        </w:rPr>
        <w:t>Week 7 Descriptor-Graph Prototype for Biodegradability Prediction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Pr>
          <w:p>
            <w:pPr>
              <w:spacing w:line="240" w:lineRule="auto"/>
            </w:pPr>
            <w:r>
              <w:rPr>
                <w:rFonts w:ascii="Times New Roman" w:hAnsi="Times New Roman"/>
                <w:b/>
                <w:sz w:val="20"/>
              </w:rPr>
              <w:t>Model</w:t>
            </w:r>
          </w:p>
        </w:tc>
        <w:tc>
          <w:tcPr>
            <w:tcW w:type="dxa" w:w="2340"/>
            <w:vAlign w:val="center"/>
          </w:tcPr>
          <w:p>
            <w:pPr>
              <w:spacing w:line="240" w:lineRule="auto"/>
            </w:pPr>
            <w:r>
              <w:rPr>
                <w:rFonts w:ascii="Times New Roman" w:hAnsi="Times New Roman"/>
                <w:b/>
                <w:sz w:val="20"/>
              </w:rPr>
              <w:t>Approximate accuracy</w:t>
            </w:r>
          </w:p>
        </w:tc>
        <w:tc>
          <w:tcPr>
            <w:tcW w:type="dxa" w:w="2340"/>
            <w:vAlign w:val="center"/>
          </w:tcPr>
          <w:p>
            <w:pPr>
              <w:spacing w:line="240" w:lineRule="auto"/>
            </w:pPr>
            <w:r>
              <w:rPr>
                <w:rFonts w:ascii="Times New Roman" w:hAnsi="Times New Roman"/>
                <w:b/>
                <w:sz w:val="20"/>
              </w:rPr>
              <w:t>Approximate ROC-AUC</w:t>
            </w:r>
          </w:p>
        </w:tc>
        <w:tc>
          <w:tcPr>
            <w:tcW w:type="dxa" w:w="2340"/>
            <w:vAlign w:val="center"/>
          </w:tcPr>
          <w:p>
            <w:pPr>
              <w:spacing w:line="240" w:lineRule="auto"/>
            </w:pPr>
            <w:r>
              <w:rPr>
                <w:rFonts w:ascii="Times New Roman" w:hAnsi="Times New Roman"/>
                <w:b/>
                <w:sz w:val="20"/>
              </w:rPr>
              <w:t>Conclusion</w:t>
            </w:r>
          </w:p>
        </w:tc>
      </w:tr>
      <w:tr>
        <w:tc>
          <w:tcPr>
            <w:tcW w:type="dxa" w:w="2340"/>
            <w:vAlign w:val="center"/>
          </w:tcPr>
          <w:p>
            <w:pPr>
              <w:spacing w:line="240" w:lineRule="auto"/>
            </w:pPr>
            <w:r>
              <w:rPr>
                <w:rFonts w:ascii="Times New Roman" w:hAnsi="Times New Roman"/>
                <w:sz w:val="18"/>
              </w:rPr>
              <w:t>Random Forest</w:t>
            </w:r>
          </w:p>
        </w:tc>
        <w:tc>
          <w:tcPr>
            <w:tcW w:type="dxa" w:w="2340"/>
            <w:vAlign w:val="center"/>
          </w:tcPr>
          <w:p>
            <w:pPr>
              <w:spacing w:line="240" w:lineRule="auto"/>
            </w:pPr>
            <w:r>
              <w:rPr>
                <w:rFonts w:ascii="Times New Roman" w:hAnsi="Times New Roman"/>
                <w:sz w:val="18"/>
              </w:rPr>
              <w:t>0.8768</w:t>
            </w:r>
          </w:p>
        </w:tc>
        <w:tc>
          <w:tcPr>
            <w:tcW w:type="dxa" w:w="2340"/>
            <w:vAlign w:val="center"/>
          </w:tcPr>
          <w:p>
            <w:pPr>
              <w:spacing w:line="240" w:lineRule="auto"/>
            </w:pPr>
            <w:r>
              <w:rPr>
                <w:rFonts w:ascii="Times New Roman" w:hAnsi="Times New Roman"/>
                <w:sz w:val="18"/>
              </w:rPr>
              <w:t>0.9423</w:t>
            </w:r>
          </w:p>
        </w:tc>
        <w:tc>
          <w:tcPr>
            <w:tcW w:type="dxa" w:w="2340"/>
            <w:vAlign w:val="center"/>
          </w:tcPr>
          <w:p>
            <w:pPr>
              <w:spacing w:line="240" w:lineRule="auto"/>
            </w:pPr>
            <w:r>
              <w:rPr>
                <w:rFonts w:ascii="Times New Roman" w:hAnsi="Times New Roman"/>
                <w:sz w:val="18"/>
              </w:rPr>
              <w:t>Strongest earlier baseline.</w:t>
            </w:r>
          </w:p>
        </w:tc>
      </w:tr>
      <w:tr>
        <w:tc>
          <w:tcPr>
            <w:tcW w:type="dxa" w:w="2340"/>
            <w:vAlign w:val="center"/>
          </w:tcPr>
          <w:p>
            <w:pPr>
              <w:spacing w:line="240" w:lineRule="auto"/>
            </w:pPr>
            <w:r>
              <w:rPr>
                <w:rFonts w:ascii="Times New Roman" w:hAnsi="Times New Roman"/>
                <w:sz w:val="18"/>
              </w:rPr>
              <w:t>FNN</w:t>
            </w:r>
          </w:p>
        </w:tc>
        <w:tc>
          <w:tcPr>
            <w:tcW w:type="dxa" w:w="2340"/>
            <w:vAlign w:val="center"/>
          </w:tcPr>
          <w:p>
            <w:pPr>
              <w:spacing w:line="240" w:lineRule="auto"/>
            </w:pPr>
            <w:r>
              <w:rPr>
                <w:rFonts w:ascii="Times New Roman" w:hAnsi="Times New Roman"/>
                <w:sz w:val="18"/>
              </w:rPr>
              <w:t>0.8246</w:t>
            </w:r>
          </w:p>
        </w:tc>
        <w:tc>
          <w:tcPr>
            <w:tcW w:type="dxa" w:w="2340"/>
            <w:vAlign w:val="center"/>
          </w:tcPr>
          <w:p>
            <w:pPr>
              <w:spacing w:line="240" w:lineRule="auto"/>
            </w:pPr>
            <w:r>
              <w:rPr>
                <w:rFonts w:ascii="Times New Roman" w:hAnsi="Times New Roman"/>
                <w:sz w:val="18"/>
              </w:rPr>
              <w:t>0.9025</w:t>
            </w:r>
          </w:p>
        </w:tc>
        <w:tc>
          <w:tcPr>
            <w:tcW w:type="dxa" w:w="2340"/>
            <w:vAlign w:val="center"/>
          </w:tcPr>
          <w:p>
            <w:pPr>
              <w:spacing w:line="240" w:lineRule="auto"/>
            </w:pPr>
            <w:r>
              <w:rPr>
                <w:rFonts w:ascii="Times New Roman" w:hAnsi="Times New Roman"/>
                <w:sz w:val="18"/>
              </w:rPr>
              <w:t>Useful but not best.</w:t>
            </w:r>
          </w:p>
        </w:tc>
      </w:tr>
      <w:tr>
        <w:tc>
          <w:tcPr>
            <w:tcW w:type="dxa" w:w="2340"/>
            <w:vAlign w:val="center"/>
          </w:tcPr>
          <w:p>
            <w:pPr>
              <w:spacing w:line="240" w:lineRule="auto"/>
            </w:pPr>
            <w:r>
              <w:rPr>
                <w:rFonts w:ascii="Times New Roman" w:hAnsi="Times New Roman"/>
                <w:sz w:val="18"/>
              </w:rPr>
              <w:t>Descriptor-graph prototype</w:t>
            </w:r>
          </w:p>
        </w:tc>
        <w:tc>
          <w:tcPr>
            <w:tcW w:type="dxa" w:w="2340"/>
            <w:vAlign w:val="center"/>
          </w:tcPr>
          <w:p>
            <w:pPr>
              <w:spacing w:line="240" w:lineRule="auto"/>
            </w:pPr>
            <w:r>
              <w:rPr>
                <w:rFonts w:ascii="Times New Roman" w:hAnsi="Times New Roman"/>
                <w:sz w:val="18"/>
              </w:rPr>
              <w:t>0.6967</w:t>
            </w:r>
          </w:p>
        </w:tc>
        <w:tc>
          <w:tcPr>
            <w:tcW w:type="dxa" w:w="2340"/>
            <w:vAlign w:val="center"/>
          </w:tcPr>
          <w:p>
            <w:pPr>
              <w:spacing w:line="240" w:lineRule="auto"/>
            </w:pPr>
            <w:r>
              <w:rPr>
                <w:rFonts w:ascii="Times New Roman" w:hAnsi="Times New Roman"/>
                <w:sz w:val="18"/>
              </w:rPr>
              <w:t>0.7689</w:t>
            </w:r>
          </w:p>
        </w:tc>
        <w:tc>
          <w:tcPr>
            <w:tcW w:type="dxa" w:w="2340"/>
            <w:vAlign w:val="center"/>
          </w:tcPr>
          <w:p>
            <w:pPr>
              <w:spacing w:line="240" w:lineRule="auto"/>
            </w:pPr>
            <w:r>
              <w:rPr>
                <w:rFonts w:ascii="Times New Roman" w:hAnsi="Times New Roman"/>
                <w:sz w:val="18"/>
              </w:rPr>
              <w:t>Representation not sufficient.</w:t>
            </w:r>
          </w:p>
        </w:tc>
      </w:tr>
    </w:tbl>
    <w:p>
      <w:r>
        <w:br w:type="page"/>
      </w:r>
    </w:p>
    <w:p>
      <w:pPr>
        <w:pStyle w:val="Heading1"/>
        <w:spacing w:line="480" w:lineRule="auto" w:after="0"/>
        <w:jc w:val="center"/>
      </w:pPr>
      <w:r>
        <w:rPr>
          <w:rFonts w:ascii="Times New Roman" w:hAnsi="Times New Roman"/>
          <w:b/>
          <w:i w:val="0"/>
          <w:sz w:val="24"/>
        </w:rPr>
        <w:t>Discussion</w:t>
      </w:r>
    </w:p>
    <w:p>
      <w:pPr>
        <w:spacing w:line="480" w:lineRule="auto" w:after="0"/>
        <w:ind w:firstLine="720"/>
        <w:jc w:val="left"/>
      </w:pPr>
      <w:r>
        <w:rPr>
          <w:rFonts w:ascii="Times New Roman" w:hAnsi="Times New Roman"/>
          <w:b w:val="0"/>
          <w:i w:val="0"/>
          <w:sz w:val="24"/>
        </w:rPr>
        <w:t>The Week 7 hypothesis was supported. The graph-style prototype did not outperform descriptor-only baselines because the input representation lacked chemically meaningful graph structure. The logic is straightforward: graph learning is powerful when nodes and edges represent atoms and bonds, but a graph imposed on summary descriptors may not carry the same mechanistic meaning.</w:t>
      </w:r>
    </w:p>
    <w:p>
      <w:pPr>
        <w:spacing w:line="480" w:lineRule="auto" w:after="0"/>
        <w:ind w:firstLine="720"/>
        <w:jc w:val="left"/>
      </w:pPr>
      <w:r>
        <w:rPr>
          <w:rFonts w:ascii="Times New Roman" w:hAnsi="Times New Roman"/>
          <w:b w:val="0"/>
          <w:i w:val="0"/>
          <w:sz w:val="24"/>
        </w:rPr>
        <w:t>This conclusion is backed by Wieder et al. (2020), who frame molecular graph neural networks around molecular structure. The limitation is that the result does not reject true graph neural networks for polymer degradation; it only shows that this dataset representation was not sufficient for a strong graph model. Future graph work would require curated repeat-unit or oligomer structures.</w:t>
      </w:r>
    </w:p>
    <w:p>
      <w:r>
        <w:br w:type="page"/>
      </w:r>
    </w:p>
    <w:p>
      <w:pPr>
        <w:spacing w:line="480" w:lineRule="auto" w:after="0"/>
        <w:jc w:val="center"/>
      </w:pPr>
      <w:r>
        <w:rPr>
          <w:rFonts w:ascii="Times New Roman" w:hAnsi="Times New Roman"/>
          <w:b/>
          <w:i w:val="0"/>
          <w:sz w:val="24"/>
        </w:rPr>
        <w:t>References</w:t>
      </w:r>
    </w:p>
    <w:p>
      <w:pPr>
        <w:spacing w:line="480" w:lineRule="auto" w:after="0"/>
        <w:ind w:left="720" w:hanging="720"/>
      </w:pPr>
      <w:r>
        <w:rPr>
          <w:rFonts w:ascii="Times New Roman" w:hAnsi="Times New Roman"/>
          <w:i w:val="0"/>
          <w:sz w:val="24"/>
        </w:rPr>
        <w:t xml:space="preserve">Wieder, O., Kohlbacher, S., Kuenemann, M., Garon, A., Ducrot, P., Seidel, T., &amp; Langer, T. (2020). A compact review of molecular property prediction with graph neural networks. </w:t>
      </w:r>
      <w:r>
        <w:rPr>
          <w:rFonts w:ascii="Times New Roman" w:hAnsi="Times New Roman"/>
          <w:i/>
          <w:sz w:val="24"/>
        </w:rPr>
        <w:t>Drug Discovery Today: Technologies, 37</w:t>
      </w:r>
      <w:r>
        <w:rPr>
          <w:rFonts w:ascii="Times New Roman" w:hAnsi="Times New Roman"/>
          <w:i w:val="0"/>
          <w:sz w:val="24"/>
        </w:rPr>
        <w:t>, 1-8. https://doi.org/10.1016/j.ddtec.2020.11.009</w:t>
      </w:r>
    </w:p>
    <w:p>
      <w:pPr>
        <w:spacing w:line="480" w:lineRule="auto" w:after="0"/>
        <w:ind w:left="720" w:hanging="720"/>
      </w:pPr>
      <w:r>
        <w:rPr>
          <w:rFonts w:ascii="Times New Roman" w:hAnsi="Times New Roman"/>
          <w:i w:val="0"/>
          <w:sz w:val="24"/>
        </w:rPr>
        <w:t xml:space="preserve">Mansouri, K., Ringsted, T., Ballabio, D., Todeschini, R., &amp; Consonni, V. (2013). Quantitative structure-activity relationship models for ready biodegradability of chemicals. </w:t>
      </w:r>
      <w:r>
        <w:rPr>
          <w:rFonts w:ascii="Times New Roman" w:hAnsi="Times New Roman"/>
          <w:i/>
          <w:sz w:val="24"/>
        </w:rPr>
        <w:t>Journal of Chemical Information and Modeling, 53</w:t>
      </w:r>
      <w:r>
        <w:rPr>
          <w:rFonts w:ascii="Times New Roman" w:hAnsi="Times New Roman"/>
          <w:i w:val="0"/>
          <w:sz w:val="24"/>
        </w:rPr>
        <w:t>(4), 867-878. https://doi.org/10.1021/ci4000213</w:t>
      </w:r>
    </w:p>
    <w:p>
      <w:r>
        <w:br w:type="page"/>
      </w:r>
    </w:p>
    <w:p>
      <w:pPr>
        <w:spacing w:line="480" w:lineRule="auto" w:after="0"/>
        <w:jc w:val="center"/>
      </w:pPr>
      <w:r>
        <w:rPr>
          <w:rFonts w:ascii="Times New Roman" w:hAnsi="Times New Roman"/>
          <w:b/>
          <w:i w:val="0"/>
          <w:sz w:val="24"/>
        </w:rPr>
        <w:t>Appendix</w:t>
      </w:r>
    </w:p>
    <w:p>
      <w:pPr>
        <w:spacing w:line="480" w:lineRule="auto" w:after="0"/>
        <w:jc w:val="center"/>
      </w:pPr>
      <w:r>
        <w:rPr>
          <w:rFonts w:ascii="Times New Roman" w:hAnsi="Times New Roman"/>
          <w:b/>
          <w:i w:val="0"/>
          <w:sz w:val="24"/>
        </w:rPr>
        <w:t>Figure A1</w:t>
      </w:r>
    </w:p>
    <w:p>
      <w:pPr>
        <w:jc w:val="center"/>
      </w:pPr>
      <w:r>
        <w:drawing>
          <wp:inline xmlns:a="http://schemas.openxmlformats.org/drawingml/2006/main" xmlns:pic="http://schemas.openxmlformats.org/drawingml/2006/picture">
            <wp:extent cx="5715000" cy="4857750"/>
            <wp:docPr id="1" name="Picture 1"/>
            <wp:cNvGraphicFramePr>
              <a:graphicFrameLocks noChangeAspect="1"/>
            </wp:cNvGraphicFramePr>
            <a:graphic>
              <a:graphicData uri="http://schemas.openxmlformats.org/drawingml/2006/picture">
                <pic:pic>
                  <pic:nvPicPr>
                    <pic:cNvPr id="0" name="Week_07_Applied_Work_figure_1.png"/>
                    <pic:cNvPicPr/>
                  </pic:nvPicPr>
                  <pic:blipFill>
                    <a:blip r:embed="rId10"/>
                    <a:stretch>
                      <a:fillRect/>
                    </a:stretch>
                  </pic:blipFill>
                  <pic:spPr>
                    <a:xfrm>
                      <a:off x="0" y="0"/>
                      <a:ext cx="5715000" cy="4857750"/>
                    </a:xfrm>
                    <a:prstGeom prst="rect"/>
                  </pic:spPr>
                </pic:pic>
              </a:graphicData>
            </a:graphic>
          </wp:inline>
        </w:drawing>
      </w:r>
    </w:p>
    <w:p>
      <w:pPr>
        <w:spacing w:line="240" w:lineRule="auto" w:after="0"/>
        <w:jc w:val="center"/>
      </w:pPr>
      <w:r>
        <w:rPr>
          <w:rFonts w:ascii="Times New Roman" w:hAnsi="Times New Roman"/>
          <w:b w:val="0"/>
          <w:i/>
          <w:sz w:val="24"/>
        </w:rPr>
        <w:t>Figure A1. Week 7 descriptor-graph prototype confusion matrix.</w:t>
      </w:r>
    </w:p>
    <w:p>
      <w:r>
        <w:br w:type="page"/>
      </w:r>
    </w:p>
    <w:p>
      <w:pPr>
        <w:spacing w:line="480" w:lineRule="auto" w:after="0"/>
        <w:jc w:val="center"/>
      </w:pPr>
      <w:r>
        <w:rPr>
          <w:rFonts w:ascii="Times New Roman" w:hAnsi="Times New Roman"/>
          <w:b/>
          <w:i w:val="0"/>
          <w:sz w:val="24"/>
        </w:rPr>
        <w:t>Figure A2</w:t>
      </w:r>
    </w:p>
    <w:p>
      <w:pPr>
        <w:jc w:val="center"/>
      </w:pPr>
      <w:r>
        <w:drawing>
          <wp:inline xmlns:a="http://schemas.openxmlformats.org/drawingml/2006/main" xmlns:pic="http://schemas.openxmlformats.org/drawingml/2006/picture">
            <wp:extent cx="5715000" cy="3469821"/>
            <wp:docPr id="2" name="Picture 2"/>
            <wp:cNvGraphicFramePr>
              <a:graphicFrameLocks noChangeAspect="1"/>
            </wp:cNvGraphicFramePr>
            <a:graphic>
              <a:graphicData uri="http://schemas.openxmlformats.org/drawingml/2006/picture">
                <pic:pic>
                  <pic:nvPicPr>
                    <pic:cNvPr id="0" name="Week_07_Applied_Work_figure_2.png"/>
                    <pic:cNvPicPr/>
                  </pic:nvPicPr>
                  <pic:blipFill>
                    <a:blip r:embed="rId11"/>
                    <a:stretch>
                      <a:fillRect/>
                    </a:stretch>
                  </pic:blipFill>
                  <pic:spPr>
                    <a:xfrm>
                      <a:off x="0" y="0"/>
                      <a:ext cx="5715000" cy="3469821"/>
                    </a:xfrm>
                    <a:prstGeom prst="rect"/>
                  </pic:spPr>
                </pic:pic>
              </a:graphicData>
            </a:graphic>
          </wp:inline>
        </w:drawing>
      </w:r>
    </w:p>
    <w:p>
      <w:pPr>
        <w:spacing w:line="240" w:lineRule="auto" w:after="0"/>
        <w:jc w:val="center"/>
      </w:pPr>
      <w:r>
        <w:rPr>
          <w:rFonts w:ascii="Times New Roman" w:hAnsi="Times New Roman"/>
          <w:b w:val="0"/>
          <w:i/>
          <w:sz w:val="24"/>
        </w:rPr>
        <w:t>Figure A2. Week 7 model performance compared with earlier baselines.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