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9 Applied Work: Class-Balancing Evaluation with SMOTE</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Introduction</w:t>
      </w:r>
    </w:p>
    <w:p>
      <w:pPr>
        <w:spacing w:line="480" w:lineRule="auto" w:after="0"/>
        <w:ind w:firstLine="720"/>
        <w:jc w:val="left"/>
      </w:pPr>
      <w:r>
        <w:rPr>
          <w:rFonts w:ascii="Times New Roman" w:hAnsi="Times New Roman"/>
          <w:b w:val="0"/>
          <w:i w:val="0"/>
          <w:sz w:val="24"/>
        </w:rPr>
        <w:t>The purpose of Week 9 was to respond directly to the class-imbalance problem identified in Weeks 5 and 6. The dataset contained 699 NRB samples and 356 RB samples, making RB the minority class. Because biodegradability prediction is useful only if RB compounds are detected reliably, minority-class performance became a central evaluation target.</w:t>
      </w:r>
    </w:p>
    <w:p>
      <w:pPr>
        <w:spacing w:line="480" w:lineRule="auto" w:after="0"/>
        <w:ind w:firstLine="720"/>
        <w:jc w:val="left"/>
      </w:pPr>
      <w:r>
        <w:rPr>
          <w:rFonts w:ascii="Times New Roman" w:hAnsi="Times New Roman"/>
          <w:b w:val="0"/>
          <w:i w:val="0"/>
          <w:sz w:val="24"/>
        </w:rPr>
        <w:t>The method was motivated by imbalanced-learning literature. Chawla et al. (2002) introduced SMOTE as a synthetic minority oversampling technique. Therefore, the Week 9 research question was whether applying balancing methods to the training data could improve class-level behavior without overstating performance.</w:t>
      </w:r>
    </w:p>
    <w:p>
      <w:pPr>
        <w:spacing w:line="480" w:lineRule="auto" w:after="0"/>
        <w:ind w:firstLine="720"/>
        <w:jc w:val="left"/>
      </w:pPr>
      <w:r>
        <w:rPr>
          <w:rFonts w:ascii="Times New Roman" w:hAnsi="Times New Roman"/>
          <w:b w:val="0"/>
          <w:i w:val="0"/>
          <w:sz w:val="24"/>
        </w:rPr>
        <w:t>Research question. Can balancing methods improve minority-class detection in the biodegradability dataset?</w:t>
      </w:r>
    </w:p>
    <w:p>
      <w:pPr>
        <w:spacing w:line="480" w:lineRule="auto" w:after="0"/>
        <w:ind w:firstLine="720"/>
        <w:jc w:val="left"/>
      </w:pPr>
      <w:r>
        <w:rPr>
          <w:rFonts w:ascii="Times New Roman" w:hAnsi="Times New Roman"/>
          <w:b w:val="0"/>
          <w:i w:val="0"/>
          <w:sz w:val="24"/>
        </w:rPr>
        <w:t>It was hypothesized that SMOTE would improve RB detection because the original dataset contained many more NRB samples than RB samples.</w:t>
      </w:r>
    </w:p>
    <w:p>
      <w:r>
        <w:br w:type="page"/>
      </w:r>
    </w:p>
    <w:p>
      <w:pPr>
        <w:pStyle w:val="Heading1"/>
        <w:spacing w:line="480" w:lineRule="auto" w:after="0"/>
        <w:jc w:val="center"/>
      </w:pPr>
      <w:r>
        <w:rPr>
          <w:rFonts w:ascii="Times New Roman" w:hAnsi="Times New Roman"/>
          <w:b/>
          <w:i w:val="0"/>
          <w:sz w:val="24"/>
        </w:rPr>
        <w:t>Methods and Materials</w:t>
      </w:r>
    </w:p>
    <w:p>
      <w:pPr>
        <w:spacing w:line="480" w:lineRule="auto" w:after="0"/>
        <w:ind w:firstLine="720"/>
        <w:jc w:val="left"/>
      </w:pPr>
      <w:r>
        <w:rPr>
          <w:rFonts w:ascii="Times New Roman" w:hAnsi="Times New Roman"/>
          <w:b w:val="0"/>
          <w:i w:val="0"/>
          <w:sz w:val="24"/>
        </w:rPr>
        <w:t>SMOTE was applied only to the training data so that synthetic samples did not leak into the test set. Models were then evaluated using class-level recall, accuracy, and comparison against baseline results.</w:t>
      </w:r>
    </w:p>
    <w:p>
      <w:pPr>
        <w:spacing w:line="480" w:lineRule="auto" w:after="0"/>
        <w:ind w:firstLine="720"/>
        <w:jc w:val="left"/>
      </w:pPr>
      <w:r>
        <w:rPr>
          <w:rFonts w:ascii="Times New Roman" w:hAnsi="Times New Roman"/>
          <w:b w:val="0"/>
          <w:i w:val="0"/>
          <w:sz w:val="24"/>
        </w:rPr>
        <w:t>This setup preserved the scientific validity of the evaluation. Balancing the training set can help the model learn the minority class, but the test set must remain realistic so that performance reflects actual deployment conditions.</w:t>
      </w:r>
    </w:p>
    <w:p>
      <w:r>
        <w:br w:type="page"/>
      </w:r>
    </w:p>
    <w:p>
      <w:pPr>
        <w:pStyle w:val="Heading1"/>
        <w:spacing w:line="480" w:lineRule="auto" w:after="0"/>
        <w:jc w:val="center"/>
      </w:pPr>
      <w:r>
        <w:rPr>
          <w:rFonts w:ascii="Times New Roman" w:hAnsi="Times New Roman"/>
          <w:b/>
          <w:i w:val="0"/>
          <w:sz w:val="24"/>
        </w:rPr>
        <w:t>Results</w:t>
      </w:r>
    </w:p>
    <w:p>
      <w:pPr>
        <w:spacing w:line="480" w:lineRule="auto" w:after="0"/>
        <w:ind w:firstLine="720"/>
        <w:jc w:val="left"/>
      </w:pPr>
      <w:r>
        <w:rPr>
          <w:rFonts w:ascii="Times New Roman" w:hAnsi="Times New Roman"/>
          <w:b w:val="0"/>
          <w:i w:val="0"/>
          <w:sz w:val="24"/>
        </w:rPr>
        <w:t>SMOTE improved several minority-class and model-level metrics. Logistic Regression RB recall increased from 0.7922 to 0.8568. FNN accuracy increased from 0.8588 to 0.8730. Random Forest RB recall increased from 0.7501 to 0.7837.</w:t>
      </w:r>
    </w:p>
    <w:p>
      <w:pPr>
        <w:spacing w:line="480" w:lineRule="auto" w:after="0"/>
        <w:ind w:firstLine="720"/>
        <w:jc w:val="left"/>
      </w:pPr>
      <w:r>
        <w:rPr>
          <w:rFonts w:ascii="Times New Roman" w:hAnsi="Times New Roman"/>
          <w:b w:val="0"/>
          <w:i w:val="0"/>
          <w:sz w:val="24"/>
        </w:rPr>
        <w:t>Appendix Figure A1 summarizes the effect of SMOTE on key metrics.</w:t>
      </w:r>
    </w:p>
    <w:p>
      <w:pPr>
        <w:spacing w:line="480" w:lineRule="auto" w:after="0"/>
        <w:jc w:val="center"/>
      </w:pPr>
      <w:r>
        <w:rPr>
          <w:rFonts w:ascii="Times New Roman" w:hAnsi="Times New Roman"/>
          <w:b/>
          <w:i w:val="0"/>
          <w:sz w:val="24"/>
        </w:rPr>
        <w:t>Table 1</w:t>
      </w:r>
    </w:p>
    <w:p>
      <w:pPr>
        <w:spacing w:line="480" w:lineRule="auto" w:after="0"/>
        <w:jc w:val="center"/>
      </w:pPr>
      <w:r>
        <w:rPr>
          <w:rFonts w:ascii="Times New Roman" w:hAnsi="Times New Roman"/>
          <w:b w:val="0"/>
          <w:i/>
          <w:sz w:val="24"/>
        </w:rPr>
        <w:t>Week 9 Class-Balancing Evaluation with SMOTE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40" w:lineRule="auto"/>
            </w:pPr>
            <w:r>
              <w:rPr>
                <w:rFonts w:ascii="Times New Roman" w:hAnsi="Times New Roman"/>
                <w:b/>
                <w:sz w:val="20"/>
              </w:rPr>
              <w:t>Metric</w:t>
            </w:r>
          </w:p>
        </w:tc>
        <w:tc>
          <w:tcPr>
            <w:tcW w:type="dxa" w:w="2340"/>
            <w:vAlign w:val="center"/>
          </w:tcPr>
          <w:p>
            <w:pPr>
              <w:spacing w:line="240" w:lineRule="auto"/>
            </w:pPr>
            <w:r>
              <w:rPr>
                <w:rFonts w:ascii="Times New Roman" w:hAnsi="Times New Roman"/>
                <w:b/>
                <w:sz w:val="20"/>
              </w:rPr>
              <w:t>Baseline</w:t>
            </w:r>
          </w:p>
        </w:tc>
        <w:tc>
          <w:tcPr>
            <w:tcW w:type="dxa" w:w="2340"/>
            <w:vAlign w:val="center"/>
          </w:tcPr>
          <w:p>
            <w:pPr>
              <w:spacing w:line="240" w:lineRule="auto"/>
            </w:pPr>
            <w:r>
              <w:rPr>
                <w:rFonts w:ascii="Times New Roman" w:hAnsi="Times New Roman"/>
                <w:b/>
                <w:sz w:val="20"/>
              </w:rPr>
              <w:t>SMOTE</w:t>
            </w:r>
          </w:p>
        </w:tc>
        <w:tc>
          <w:tcPr>
            <w:tcW w:type="dxa" w:w="2340"/>
            <w:vAlign w:val="center"/>
          </w:tcPr>
          <w:p>
            <w:pPr>
              <w:spacing w:line="240" w:lineRule="auto"/>
            </w:pPr>
            <w:r>
              <w:rPr>
                <w:rFonts w:ascii="Times New Roman" w:hAnsi="Times New Roman"/>
                <w:b/>
                <w:sz w:val="20"/>
              </w:rPr>
              <w:t>Effect</w:t>
            </w:r>
          </w:p>
        </w:tc>
      </w:tr>
      <w:tr>
        <w:tc>
          <w:tcPr>
            <w:tcW w:type="dxa" w:w="2340"/>
            <w:vAlign w:val="center"/>
          </w:tcPr>
          <w:p>
            <w:pPr>
              <w:spacing w:line="240" w:lineRule="auto"/>
            </w:pPr>
            <w:r>
              <w:rPr>
                <w:rFonts w:ascii="Times New Roman" w:hAnsi="Times New Roman"/>
                <w:sz w:val="18"/>
              </w:rPr>
              <w:t>Logistic Regression RB recall</w:t>
            </w:r>
          </w:p>
        </w:tc>
        <w:tc>
          <w:tcPr>
            <w:tcW w:type="dxa" w:w="2340"/>
            <w:vAlign w:val="center"/>
          </w:tcPr>
          <w:p>
            <w:pPr>
              <w:spacing w:line="240" w:lineRule="auto"/>
            </w:pPr>
            <w:r>
              <w:rPr>
                <w:rFonts w:ascii="Times New Roman" w:hAnsi="Times New Roman"/>
                <w:sz w:val="18"/>
              </w:rPr>
              <w:t>0.7922</w:t>
            </w:r>
          </w:p>
        </w:tc>
        <w:tc>
          <w:tcPr>
            <w:tcW w:type="dxa" w:w="2340"/>
            <w:vAlign w:val="center"/>
          </w:tcPr>
          <w:p>
            <w:pPr>
              <w:spacing w:line="240" w:lineRule="auto"/>
            </w:pPr>
            <w:r>
              <w:rPr>
                <w:rFonts w:ascii="Times New Roman" w:hAnsi="Times New Roman"/>
                <w:sz w:val="18"/>
              </w:rPr>
              <w:t>0.8568</w:t>
            </w:r>
          </w:p>
        </w:tc>
        <w:tc>
          <w:tcPr>
            <w:tcW w:type="dxa" w:w="2340"/>
            <w:vAlign w:val="center"/>
          </w:tcPr>
          <w:p>
            <w:pPr>
              <w:spacing w:line="240" w:lineRule="auto"/>
            </w:pPr>
            <w:r>
              <w:rPr>
                <w:rFonts w:ascii="Times New Roman" w:hAnsi="Times New Roman"/>
                <w:sz w:val="18"/>
              </w:rPr>
              <w:t>Improved minority detection.</w:t>
            </w:r>
          </w:p>
        </w:tc>
      </w:tr>
      <w:tr>
        <w:tc>
          <w:tcPr>
            <w:tcW w:type="dxa" w:w="2340"/>
            <w:vAlign w:val="center"/>
          </w:tcPr>
          <w:p>
            <w:pPr>
              <w:spacing w:line="240" w:lineRule="auto"/>
            </w:pPr>
            <w:r>
              <w:rPr>
                <w:rFonts w:ascii="Times New Roman" w:hAnsi="Times New Roman"/>
                <w:sz w:val="18"/>
              </w:rPr>
              <w:t>FNN accuracy</w:t>
            </w:r>
          </w:p>
        </w:tc>
        <w:tc>
          <w:tcPr>
            <w:tcW w:type="dxa" w:w="2340"/>
            <w:vAlign w:val="center"/>
          </w:tcPr>
          <w:p>
            <w:pPr>
              <w:spacing w:line="240" w:lineRule="auto"/>
            </w:pPr>
            <w:r>
              <w:rPr>
                <w:rFonts w:ascii="Times New Roman" w:hAnsi="Times New Roman"/>
                <w:sz w:val="18"/>
              </w:rPr>
              <w:t>0.8588</w:t>
            </w:r>
          </w:p>
        </w:tc>
        <w:tc>
          <w:tcPr>
            <w:tcW w:type="dxa" w:w="2340"/>
            <w:vAlign w:val="center"/>
          </w:tcPr>
          <w:p>
            <w:pPr>
              <w:spacing w:line="240" w:lineRule="auto"/>
            </w:pPr>
            <w:r>
              <w:rPr>
                <w:rFonts w:ascii="Times New Roman" w:hAnsi="Times New Roman"/>
                <w:sz w:val="18"/>
              </w:rPr>
              <w:t>0.8730</w:t>
            </w:r>
          </w:p>
        </w:tc>
        <w:tc>
          <w:tcPr>
            <w:tcW w:type="dxa" w:w="2340"/>
            <w:vAlign w:val="center"/>
          </w:tcPr>
          <w:p>
            <w:pPr>
              <w:spacing w:line="240" w:lineRule="auto"/>
            </w:pPr>
            <w:r>
              <w:rPr>
                <w:rFonts w:ascii="Times New Roman" w:hAnsi="Times New Roman"/>
                <w:sz w:val="18"/>
              </w:rPr>
              <w:t>Improved overall classification.</w:t>
            </w:r>
          </w:p>
        </w:tc>
      </w:tr>
      <w:tr>
        <w:tc>
          <w:tcPr>
            <w:tcW w:type="dxa" w:w="2340"/>
            <w:vAlign w:val="center"/>
          </w:tcPr>
          <w:p>
            <w:pPr>
              <w:spacing w:line="240" w:lineRule="auto"/>
            </w:pPr>
            <w:r>
              <w:rPr>
                <w:rFonts w:ascii="Times New Roman" w:hAnsi="Times New Roman"/>
                <w:sz w:val="18"/>
              </w:rPr>
              <w:t>Random Forest RB recall</w:t>
            </w:r>
          </w:p>
        </w:tc>
        <w:tc>
          <w:tcPr>
            <w:tcW w:type="dxa" w:w="2340"/>
            <w:vAlign w:val="center"/>
          </w:tcPr>
          <w:p>
            <w:pPr>
              <w:spacing w:line="240" w:lineRule="auto"/>
            </w:pPr>
            <w:r>
              <w:rPr>
                <w:rFonts w:ascii="Times New Roman" w:hAnsi="Times New Roman"/>
                <w:sz w:val="18"/>
              </w:rPr>
              <w:t>0.7501</w:t>
            </w:r>
          </w:p>
        </w:tc>
        <w:tc>
          <w:tcPr>
            <w:tcW w:type="dxa" w:w="2340"/>
            <w:vAlign w:val="center"/>
          </w:tcPr>
          <w:p>
            <w:pPr>
              <w:spacing w:line="240" w:lineRule="auto"/>
            </w:pPr>
            <w:r>
              <w:rPr>
                <w:rFonts w:ascii="Times New Roman" w:hAnsi="Times New Roman"/>
                <w:sz w:val="18"/>
              </w:rPr>
              <w:t>0.7837</w:t>
            </w:r>
          </w:p>
        </w:tc>
        <w:tc>
          <w:tcPr>
            <w:tcW w:type="dxa" w:w="2340"/>
            <w:vAlign w:val="center"/>
          </w:tcPr>
          <w:p>
            <w:pPr>
              <w:spacing w:line="240" w:lineRule="auto"/>
            </w:pPr>
            <w:r>
              <w:rPr>
                <w:rFonts w:ascii="Times New Roman" w:hAnsi="Times New Roman"/>
                <w:sz w:val="18"/>
              </w:rPr>
              <w:t>Improved minority detection.</w:t>
            </w:r>
          </w:p>
        </w:tc>
      </w:tr>
    </w:tbl>
    <w:p>
      <w:r>
        <w:br w:type="page"/>
      </w:r>
    </w:p>
    <w:p>
      <w:pPr>
        <w:pStyle w:val="Heading1"/>
        <w:spacing w:line="480" w:lineRule="auto" w:after="0"/>
        <w:jc w:val="center"/>
      </w:pPr>
      <w:r>
        <w:rPr>
          <w:rFonts w:ascii="Times New Roman" w:hAnsi="Times New Roman"/>
          <w:b/>
          <w:i w:val="0"/>
          <w:sz w:val="24"/>
        </w:rPr>
        <w:t>Discussion</w:t>
      </w:r>
    </w:p>
    <w:p>
      <w:pPr>
        <w:spacing w:line="480" w:lineRule="auto" w:after="0"/>
        <w:ind w:firstLine="720"/>
        <w:jc w:val="left"/>
      </w:pPr>
      <w:r>
        <w:rPr>
          <w:rFonts w:ascii="Times New Roman" w:hAnsi="Times New Roman"/>
          <w:b w:val="0"/>
          <w:i w:val="0"/>
          <w:sz w:val="24"/>
        </w:rPr>
        <w:t>The Week 9 hypothesis was supported. SMOTE improved minority-class detection because it reduced the dominance of the majority NRB class during training. The logic behind the claim is that imbalanced training data can bias a classifier toward majority-class decision regions, while synthetic minority examples force the model to represent minority-class structure more explicitly.</w:t>
      </w:r>
    </w:p>
    <w:p>
      <w:pPr>
        <w:spacing w:line="480" w:lineRule="auto" w:after="0"/>
        <w:ind w:firstLine="720"/>
        <w:jc w:val="left"/>
      </w:pPr>
      <w:r>
        <w:rPr>
          <w:rFonts w:ascii="Times New Roman" w:hAnsi="Times New Roman"/>
          <w:b w:val="0"/>
          <w:i w:val="0"/>
          <w:sz w:val="24"/>
        </w:rPr>
        <w:t>This claim is backed by Chawla et al. (2002). The limitation is that SMOTE can also create synthetic points that do not correspond to real chemistry if used carelessly. Future work should compare SMOTE with class weighting and threshold tuning, and should always report confusion matrices and macro-F1 rather than accuracy alone.</w:t>
      </w:r>
    </w:p>
    <w:p>
      <w:r>
        <w:br w:type="page"/>
      </w:r>
    </w:p>
    <w:p>
      <w:pPr>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Chawla, N. V., Bowyer, K. W., Hall, L. O., &amp; Kegelmeyer, W. P. (2002). SMOTE: Synthetic minority over-sampling technique. </w:t>
      </w:r>
      <w:r>
        <w:rPr>
          <w:rFonts w:ascii="Times New Roman" w:hAnsi="Times New Roman"/>
          <w:i/>
          <w:sz w:val="24"/>
        </w:rPr>
        <w:t>Journal of Artificial Intelligence Research, 16</w:t>
      </w:r>
      <w:r>
        <w:rPr>
          <w:rFonts w:ascii="Times New Roman" w:hAnsi="Times New Roman"/>
          <w:i w:val="0"/>
          <w:sz w:val="24"/>
        </w:rPr>
        <w:t>, 321-357. https://doi.org/10.1613/jair.953</w:t>
      </w:r>
    </w:p>
    <w:p>
      <w:pPr>
        <w:spacing w:line="480" w:lineRule="auto" w:after="0"/>
        <w:ind w:left="720" w:hanging="720"/>
      </w:pPr>
      <w:r>
        <w:rPr>
          <w:rFonts w:ascii="Times New Roman" w:hAnsi="Times New Roman"/>
          <w:i w:val="0"/>
          <w:sz w:val="24"/>
        </w:rPr>
        <w:t xml:space="preserve">Mansouri, K., Ringsted, T., Ballabio, D., Todeschini, R., &amp; Consonni, V. (2013). Quantitative structure-activity relationship models for ready biodegradability of chemicals. </w:t>
      </w:r>
      <w:r>
        <w:rPr>
          <w:rFonts w:ascii="Times New Roman" w:hAnsi="Times New Roman"/>
          <w:i/>
          <w:sz w:val="24"/>
        </w:rPr>
        <w:t>Journal of Chemical Information and Modeling, 53</w:t>
      </w:r>
      <w:r>
        <w:rPr>
          <w:rFonts w:ascii="Times New Roman" w:hAnsi="Times New Roman"/>
          <w:i w:val="0"/>
          <w:sz w:val="24"/>
        </w:rPr>
        <w:t>(4), 867-878. https://doi.org/10.1021/ci4000213</w:t>
      </w:r>
    </w:p>
    <w:p>
      <w:r>
        <w:br w:type="page"/>
      </w:r>
    </w:p>
    <w:p>
      <w:pPr>
        <w:spacing w:line="480" w:lineRule="auto" w:after="0"/>
        <w:jc w:val="center"/>
      </w:pPr>
      <w:r>
        <w:rPr>
          <w:rFonts w:ascii="Times New Roman" w:hAnsi="Times New Roman"/>
          <w:b/>
          <w:i w:val="0"/>
          <w:sz w:val="24"/>
        </w:rPr>
        <w:t>Appendix</w:t>
      </w:r>
    </w:p>
    <w:p>
      <w:pPr>
        <w:spacing w:line="480" w:lineRule="auto" w:after="0"/>
        <w:jc w:val="center"/>
      </w:pPr>
      <w:r>
        <w:rPr>
          <w:rFonts w:ascii="Times New Roman" w:hAnsi="Times New Roman"/>
          <w:b/>
          <w:i w:val="0"/>
          <w:sz w:val="24"/>
        </w:rPr>
        <w:t>Figure A1</w:t>
      </w:r>
    </w:p>
    <w:p>
      <w:pPr>
        <w:jc w:val="center"/>
      </w:pPr>
      <w:r>
        <w:drawing>
          <wp:inline xmlns:a="http://schemas.openxmlformats.org/drawingml/2006/main" xmlns:pic="http://schemas.openxmlformats.org/drawingml/2006/picture">
            <wp:extent cx="5715000" cy="3469821"/>
            <wp:docPr id="1" name="Picture 1"/>
            <wp:cNvGraphicFramePr>
              <a:graphicFrameLocks noChangeAspect="1"/>
            </wp:cNvGraphicFramePr>
            <a:graphic>
              <a:graphicData uri="http://schemas.openxmlformats.org/drawingml/2006/picture">
                <pic:pic>
                  <pic:nvPicPr>
                    <pic:cNvPr id="0" name="Week_09_Applied_Work_figure_1.png"/>
                    <pic:cNvPicPr/>
                  </pic:nvPicPr>
                  <pic:blipFill>
                    <a:blip r:embed="rId10"/>
                    <a:stretch>
                      <a:fillRect/>
                    </a:stretch>
                  </pic:blipFill>
                  <pic:spPr>
                    <a:xfrm>
                      <a:off x="0" y="0"/>
                      <a:ext cx="5715000" cy="3469821"/>
                    </a:xfrm>
                    <a:prstGeom prst="rect"/>
                  </pic:spPr>
                </pic:pic>
              </a:graphicData>
            </a:graphic>
          </wp:inline>
        </w:drawing>
      </w:r>
    </w:p>
    <w:p>
      <w:pPr>
        <w:spacing w:line="240" w:lineRule="auto" w:after="0"/>
        <w:jc w:val="center"/>
      </w:pPr>
      <w:r>
        <w:rPr>
          <w:rFonts w:ascii="Times New Roman" w:hAnsi="Times New Roman"/>
          <w:b w:val="0"/>
          <w:i/>
          <w:sz w:val="24"/>
        </w:rPr>
        <w:t>Figure A1. SMOTE improved minority-class detection in Week 9.</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