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line="480" w:lineRule="auto" w:after="0"/>
        <w:jc w:val="center"/>
      </w:pPr>
      <w:r>
        <w:rPr>
          <w:rFonts w:ascii="Times New Roman" w:hAnsi="Times New Roman"/>
          <w:b/>
          <w:i w:val="0"/>
          <w:sz w:val="24"/>
        </w:rPr>
        <w:t>Week 10 Applied Work: Chemistry-Aware Proxy Features for Biodegradability Modeling</w:t>
      </w:r>
    </w:p>
    <w:p>
      <w:pPr>
        <w:spacing w:line="480" w:lineRule="auto" w:after="0"/>
        <w:jc w:val="center"/>
      </w:pPr>
      <w:r>
        <w:rPr>
          <w:rFonts w:ascii="Times New Roman" w:hAnsi="Times New Roman"/>
          <w:b w:val="0"/>
          <w:i w:val="0"/>
          <w:sz w:val="24"/>
        </w:rPr>
        <w:t>Aryamann Zutshi</w:t>
      </w:r>
    </w:p>
    <w:p>
      <w:pPr>
        <w:spacing w:line="480" w:lineRule="auto" w:after="0"/>
        <w:jc w:val="center"/>
      </w:pPr>
      <w:r>
        <w:rPr>
          <w:rFonts w:ascii="Times New Roman" w:hAnsi="Times New Roman"/>
          <w:b w:val="0"/>
          <w:i w:val="0"/>
          <w:sz w:val="24"/>
        </w:rPr>
        <w:t>University of Kansas</w:t>
      </w:r>
    </w:p>
    <w:p>
      <w:pPr>
        <w:spacing w:line="480" w:lineRule="auto" w:after="0"/>
        <w:jc w:val="center"/>
      </w:pPr>
      <w:r>
        <w:rPr>
          <w:rFonts w:ascii="Times New Roman" w:hAnsi="Times New Roman"/>
          <w:b w:val="0"/>
          <w:i w:val="0"/>
          <w:sz w:val="24"/>
        </w:rPr>
        <w:t>EECS 692: Predicting Plastic Degradation Pathways with Machine Learning</w:t>
      </w:r>
    </w:p>
    <w:p>
      <w:pPr>
        <w:spacing w:line="480" w:lineRule="auto" w:after="0"/>
        <w:jc w:val="center"/>
      </w:pPr>
      <w:r>
        <w:rPr>
          <w:rFonts w:ascii="Times New Roman" w:hAnsi="Times New Roman"/>
          <w:b w:val="0"/>
          <w:i w:val="0"/>
          <w:sz w:val="24"/>
        </w:rPr>
        <w:t>Professor David Johnson</w:t>
      </w:r>
    </w:p>
    <w:p>
      <w:pPr>
        <w:spacing w:line="480" w:lineRule="auto" w:after="0"/>
        <w:jc w:val="center"/>
      </w:pPr>
      <w:r>
        <w:rPr>
          <w:rFonts w:ascii="Times New Roman" w:hAnsi="Times New Roman"/>
          <w:b w:val="0"/>
          <w:i w:val="0"/>
          <w:sz w:val="24"/>
        </w:rPr>
        <w:t>May 24, 2026</w:t>
      </w:r>
    </w:p>
    <w:p>
      <w:r>
        <w:br w:type="page"/>
      </w:r>
    </w:p>
    <w:p>
      <w:pPr>
        <w:pStyle w:val="Heading1"/>
        <w:spacing w:line="480" w:lineRule="auto" w:after="0"/>
        <w:jc w:val="center"/>
      </w:pPr>
      <w:r>
        <w:rPr>
          <w:rFonts w:ascii="Times New Roman" w:hAnsi="Times New Roman"/>
          <w:b/>
          <w:i w:val="0"/>
          <w:sz w:val="24"/>
        </w:rPr>
        <w:t>Introduction</w:t>
      </w:r>
    </w:p>
    <w:p>
      <w:pPr>
        <w:spacing w:line="480" w:lineRule="auto" w:after="0"/>
        <w:ind w:firstLine="720"/>
        <w:jc w:val="left"/>
      </w:pPr>
      <w:r>
        <w:rPr>
          <w:rFonts w:ascii="Times New Roman" w:hAnsi="Times New Roman"/>
          <w:b w:val="0"/>
          <w:i w:val="0"/>
          <w:sz w:val="24"/>
        </w:rPr>
        <w:t>The purpose of Week 10 was to improve the descriptor representation by adding chemistry-aware proxy features. Earlier weeks showed that model performance depended strongly on feature quality, so this week focused on whether targeted features could improve detection of biodegradability patterns.</w:t>
      </w:r>
    </w:p>
    <w:p>
      <w:pPr>
        <w:spacing w:line="480" w:lineRule="auto" w:after="0"/>
        <w:ind w:firstLine="720"/>
        <w:jc w:val="left"/>
      </w:pPr>
      <w:r>
        <w:rPr>
          <w:rFonts w:ascii="Times New Roman" w:hAnsi="Times New Roman"/>
          <w:b w:val="0"/>
          <w:i w:val="0"/>
          <w:sz w:val="24"/>
        </w:rPr>
        <w:t>The approach is consistent with QSAR/QSPR literature, where molecular descriptors are used to encode chemical properties relevant to prediction (Karelson et al., 1996; Mansouri et al., 2013). Therefore, the Week 10 research question was whether carefully designed proxy features could improve model behavior when combined with balancing methods.</w:t>
      </w:r>
    </w:p>
    <w:p>
      <w:pPr>
        <w:spacing w:line="480" w:lineRule="auto" w:after="0"/>
        <w:ind w:firstLine="720"/>
        <w:jc w:val="left"/>
      </w:pPr>
      <w:r>
        <w:rPr>
          <w:rFonts w:ascii="Times New Roman" w:hAnsi="Times New Roman"/>
          <w:b w:val="0"/>
          <w:i w:val="0"/>
          <w:sz w:val="24"/>
        </w:rPr>
        <w:t>Research question. Do chemistry-aware proxy features improve model performance beyond the original descriptor set?</w:t>
      </w:r>
    </w:p>
    <w:p>
      <w:pPr>
        <w:spacing w:line="480" w:lineRule="auto" w:after="0"/>
        <w:ind w:firstLine="720"/>
        <w:jc w:val="left"/>
      </w:pPr>
      <w:r>
        <w:rPr>
          <w:rFonts w:ascii="Times New Roman" w:hAnsi="Times New Roman"/>
          <w:b w:val="0"/>
          <w:i w:val="0"/>
          <w:sz w:val="24"/>
        </w:rPr>
        <w:t>It was hypothesized that proxy features tied to chemical intuition would improve classification because they summarize degradation-relevant molecular patterns.</w:t>
      </w:r>
    </w:p>
    <w:p>
      <w:r>
        <w:br w:type="page"/>
      </w:r>
    </w:p>
    <w:p>
      <w:pPr>
        <w:pStyle w:val="Heading1"/>
        <w:spacing w:line="480" w:lineRule="auto" w:after="0"/>
        <w:jc w:val="center"/>
      </w:pPr>
      <w:r>
        <w:rPr>
          <w:rFonts w:ascii="Times New Roman" w:hAnsi="Times New Roman"/>
          <w:b/>
          <w:i w:val="0"/>
          <w:sz w:val="24"/>
        </w:rPr>
        <w:t>Methods and Materials</w:t>
      </w:r>
    </w:p>
    <w:p>
      <w:pPr>
        <w:spacing w:line="480" w:lineRule="auto" w:after="0"/>
        <w:ind w:firstLine="720"/>
        <w:jc w:val="left"/>
      </w:pPr>
      <w:r>
        <w:rPr>
          <w:rFonts w:ascii="Times New Roman" w:hAnsi="Times New Roman"/>
          <w:b w:val="0"/>
          <w:i w:val="0"/>
          <w:sz w:val="24"/>
        </w:rPr>
        <w:t>The analysis added proxy descriptors intended to represent degradation-relevant chemical structure. These features were evaluated with SMOTE and compared against earlier performance. The goal was not to claim that proxy features replace measured chemistry, but to test whether they provide useful summary signals.</w:t>
      </w:r>
    </w:p>
    <w:p>
      <w:pPr>
        <w:spacing w:line="480" w:lineRule="auto" w:after="0"/>
        <w:ind w:firstLine="720"/>
        <w:jc w:val="left"/>
      </w:pPr>
      <w:r>
        <w:rPr>
          <w:rFonts w:ascii="Times New Roman" w:hAnsi="Times New Roman"/>
          <w:b w:val="0"/>
          <w:i w:val="0"/>
          <w:sz w:val="24"/>
        </w:rPr>
        <w:t>Performance was evaluated using recall and F1 score because these metrics capture class-level behavior more effectively than accuracy alone in an imbalanced dataset.</w:t>
      </w:r>
    </w:p>
    <w:p>
      <w:r>
        <w:br w:type="page"/>
      </w:r>
    </w:p>
    <w:p>
      <w:pPr>
        <w:pStyle w:val="Heading1"/>
        <w:spacing w:line="480" w:lineRule="auto" w:after="0"/>
        <w:jc w:val="center"/>
      </w:pPr>
      <w:r>
        <w:rPr>
          <w:rFonts w:ascii="Times New Roman" w:hAnsi="Times New Roman"/>
          <w:b/>
          <w:i w:val="0"/>
          <w:sz w:val="24"/>
        </w:rPr>
        <w:t>Results</w:t>
      </w:r>
    </w:p>
    <w:p>
      <w:pPr>
        <w:spacing w:line="480" w:lineRule="auto" w:after="0"/>
        <w:ind w:firstLine="720"/>
        <w:jc w:val="left"/>
      </w:pPr>
      <w:r>
        <w:rPr>
          <w:rFonts w:ascii="Times New Roman" w:hAnsi="Times New Roman"/>
          <w:b w:val="0"/>
          <w:i w:val="0"/>
          <w:sz w:val="24"/>
        </w:rPr>
        <w:t>The chemistry-aware proxy features improved FNN performance. Recall increased from 0.8145 to 0.8399, and F1 score increased from 0.8126 to 0.8204 after proxy features were added.</w:t>
      </w:r>
    </w:p>
    <w:p>
      <w:pPr>
        <w:spacing w:line="480" w:lineRule="auto" w:after="0"/>
        <w:ind w:firstLine="720"/>
        <w:jc w:val="left"/>
      </w:pPr>
      <w:r>
        <w:rPr>
          <w:rFonts w:ascii="Times New Roman" w:hAnsi="Times New Roman"/>
          <w:b w:val="0"/>
          <w:i w:val="0"/>
          <w:sz w:val="24"/>
        </w:rPr>
        <w:t>Appendix Figure A1 summarizes the Week 10 proxy-feature impact.</w:t>
      </w:r>
    </w:p>
    <w:p>
      <w:pPr>
        <w:spacing w:line="480" w:lineRule="auto" w:after="0"/>
        <w:jc w:val="center"/>
      </w:pPr>
      <w:r>
        <w:rPr>
          <w:rFonts w:ascii="Times New Roman" w:hAnsi="Times New Roman"/>
          <w:b/>
          <w:i w:val="0"/>
          <w:sz w:val="24"/>
        </w:rPr>
        <w:t>Table 1</w:t>
      </w:r>
    </w:p>
    <w:p>
      <w:pPr>
        <w:spacing w:line="480" w:lineRule="auto" w:after="0"/>
        <w:jc w:val="center"/>
      </w:pPr>
      <w:r>
        <w:rPr>
          <w:rFonts w:ascii="Times New Roman" w:hAnsi="Times New Roman"/>
          <w:b w:val="0"/>
          <w:i/>
          <w:sz w:val="24"/>
        </w:rPr>
        <w:t>Week 10 Chemistry-Aware Proxy Features for Biodegradability Modeling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Pr>
          <w:p>
            <w:pPr>
              <w:spacing w:line="240" w:lineRule="auto"/>
            </w:pPr>
            <w:r>
              <w:rPr>
                <w:rFonts w:ascii="Times New Roman" w:hAnsi="Times New Roman"/>
                <w:b/>
                <w:sz w:val="20"/>
              </w:rPr>
              <w:t>Metric</w:t>
            </w:r>
          </w:p>
        </w:tc>
        <w:tc>
          <w:tcPr>
            <w:tcW w:type="dxa" w:w="2340"/>
            <w:vAlign w:val="center"/>
          </w:tcPr>
          <w:p>
            <w:pPr>
              <w:spacing w:line="240" w:lineRule="auto"/>
            </w:pPr>
            <w:r>
              <w:rPr>
                <w:rFonts w:ascii="Times New Roman" w:hAnsi="Times New Roman"/>
                <w:b/>
                <w:sz w:val="20"/>
              </w:rPr>
              <w:t>Before proxy features</w:t>
            </w:r>
          </w:p>
        </w:tc>
        <w:tc>
          <w:tcPr>
            <w:tcW w:type="dxa" w:w="2340"/>
            <w:vAlign w:val="center"/>
          </w:tcPr>
          <w:p>
            <w:pPr>
              <w:spacing w:line="240" w:lineRule="auto"/>
            </w:pPr>
            <w:r>
              <w:rPr>
                <w:rFonts w:ascii="Times New Roman" w:hAnsi="Times New Roman"/>
                <w:b/>
                <w:sz w:val="20"/>
              </w:rPr>
              <w:t>After proxy features</w:t>
            </w:r>
          </w:p>
        </w:tc>
        <w:tc>
          <w:tcPr>
            <w:tcW w:type="dxa" w:w="2340"/>
            <w:vAlign w:val="center"/>
          </w:tcPr>
          <w:p>
            <w:pPr>
              <w:spacing w:line="240" w:lineRule="auto"/>
            </w:pPr>
            <w:r>
              <w:rPr>
                <w:rFonts w:ascii="Times New Roman" w:hAnsi="Times New Roman"/>
                <w:b/>
                <w:sz w:val="20"/>
              </w:rPr>
              <w:t>Interpretation</w:t>
            </w:r>
          </w:p>
        </w:tc>
      </w:tr>
      <w:tr>
        <w:tc>
          <w:tcPr>
            <w:tcW w:type="dxa" w:w="2340"/>
            <w:vAlign w:val="center"/>
          </w:tcPr>
          <w:p>
            <w:pPr>
              <w:spacing w:line="240" w:lineRule="auto"/>
            </w:pPr>
            <w:r>
              <w:rPr>
                <w:rFonts w:ascii="Times New Roman" w:hAnsi="Times New Roman"/>
                <w:sz w:val="18"/>
              </w:rPr>
              <w:t>Recall</w:t>
            </w:r>
          </w:p>
        </w:tc>
        <w:tc>
          <w:tcPr>
            <w:tcW w:type="dxa" w:w="2340"/>
            <w:vAlign w:val="center"/>
          </w:tcPr>
          <w:p>
            <w:pPr>
              <w:spacing w:line="240" w:lineRule="auto"/>
            </w:pPr>
            <w:r>
              <w:rPr>
                <w:rFonts w:ascii="Times New Roman" w:hAnsi="Times New Roman"/>
                <w:sz w:val="18"/>
              </w:rPr>
              <w:t>0.8145</w:t>
            </w:r>
          </w:p>
        </w:tc>
        <w:tc>
          <w:tcPr>
            <w:tcW w:type="dxa" w:w="2340"/>
            <w:vAlign w:val="center"/>
          </w:tcPr>
          <w:p>
            <w:pPr>
              <w:spacing w:line="240" w:lineRule="auto"/>
            </w:pPr>
            <w:r>
              <w:rPr>
                <w:rFonts w:ascii="Times New Roman" w:hAnsi="Times New Roman"/>
                <w:sz w:val="18"/>
              </w:rPr>
              <w:t>0.8399</w:t>
            </w:r>
          </w:p>
        </w:tc>
        <w:tc>
          <w:tcPr>
            <w:tcW w:type="dxa" w:w="2340"/>
            <w:vAlign w:val="center"/>
          </w:tcPr>
          <w:p>
            <w:pPr>
              <w:spacing w:line="240" w:lineRule="auto"/>
            </w:pPr>
            <w:r>
              <w:rPr>
                <w:rFonts w:ascii="Times New Roman" w:hAnsi="Times New Roman"/>
                <w:sz w:val="18"/>
              </w:rPr>
              <w:t>Improved class detection.</w:t>
            </w:r>
          </w:p>
        </w:tc>
      </w:tr>
      <w:tr>
        <w:tc>
          <w:tcPr>
            <w:tcW w:type="dxa" w:w="2340"/>
            <w:vAlign w:val="center"/>
          </w:tcPr>
          <w:p>
            <w:pPr>
              <w:spacing w:line="240" w:lineRule="auto"/>
            </w:pPr>
            <w:r>
              <w:rPr>
                <w:rFonts w:ascii="Times New Roman" w:hAnsi="Times New Roman"/>
                <w:sz w:val="18"/>
              </w:rPr>
              <w:t>F1 score</w:t>
            </w:r>
          </w:p>
        </w:tc>
        <w:tc>
          <w:tcPr>
            <w:tcW w:type="dxa" w:w="2340"/>
            <w:vAlign w:val="center"/>
          </w:tcPr>
          <w:p>
            <w:pPr>
              <w:spacing w:line="240" w:lineRule="auto"/>
            </w:pPr>
            <w:r>
              <w:rPr>
                <w:rFonts w:ascii="Times New Roman" w:hAnsi="Times New Roman"/>
                <w:sz w:val="18"/>
              </w:rPr>
              <w:t>0.8126</w:t>
            </w:r>
          </w:p>
        </w:tc>
        <w:tc>
          <w:tcPr>
            <w:tcW w:type="dxa" w:w="2340"/>
            <w:vAlign w:val="center"/>
          </w:tcPr>
          <w:p>
            <w:pPr>
              <w:spacing w:line="240" w:lineRule="auto"/>
            </w:pPr>
            <w:r>
              <w:rPr>
                <w:rFonts w:ascii="Times New Roman" w:hAnsi="Times New Roman"/>
                <w:sz w:val="18"/>
              </w:rPr>
              <w:t>0.8204</w:t>
            </w:r>
          </w:p>
        </w:tc>
        <w:tc>
          <w:tcPr>
            <w:tcW w:type="dxa" w:w="2340"/>
            <w:vAlign w:val="center"/>
          </w:tcPr>
          <w:p>
            <w:pPr>
              <w:spacing w:line="240" w:lineRule="auto"/>
            </w:pPr>
            <w:r>
              <w:rPr>
                <w:rFonts w:ascii="Times New Roman" w:hAnsi="Times New Roman"/>
                <w:sz w:val="18"/>
              </w:rPr>
              <w:t>Improved balance between precision and recall.</w:t>
            </w:r>
          </w:p>
        </w:tc>
      </w:tr>
    </w:tbl>
    <w:p>
      <w:r>
        <w:br w:type="page"/>
      </w:r>
    </w:p>
    <w:p>
      <w:pPr>
        <w:pStyle w:val="Heading1"/>
        <w:spacing w:line="480" w:lineRule="auto" w:after="0"/>
        <w:jc w:val="center"/>
      </w:pPr>
      <w:r>
        <w:rPr>
          <w:rFonts w:ascii="Times New Roman" w:hAnsi="Times New Roman"/>
          <w:b/>
          <w:i w:val="0"/>
          <w:sz w:val="24"/>
        </w:rPr>
        <w:t>Discussion</w:t>
      </w:r>
    </w:p>
    <w:p>
      <w:pPr>
        <w:spacing w:line="480" w:lineRule="auto" w:after="0"/>
        <w:ind w:firstLine="720"/>
        <w:jc w:val="left"/>
      </w:pPr>
      <w:r>
        <w:rPr>
          <w:rFonts w:ascii="Times New Roman" w:hAnsi="Times New Roman"/>
          <w:b w:val="0"/>
          <w:i w:val="0"/>
          <w:sz w:val="24"/>
        </w:rPr>
        <w:t>The Week 10 hypothesis was supported. Proxy features improved performance because they compressed chemically meaningful information into forms the model could use more easily. The logic is that descriptors related to polarity, functional groups, or degradation-prone structure may help distinguish compounds with different biodegradation behavior.</w:t>
      </w:r>
    </w:p>
    <w:p>
      <w:pPr>
        <w:spacing w:line="480" w:lineRule="auto" w:after="0"/>
        <w:ind w:firstLine="720"/>
        <w:jc w:val="left"/>
      </w:pPr>
      <w:r>
        <w:rPr>
          <w:rFonts w:ascii="Times New Roman" w:hAnsi="Times New Roman"/>
          <w:b w:val="0"/>
          <w:i w:val="0"/>
          <w:sz w:val="24"/>
        </w:rPr>
        <w:t>Karelson et al. (1996) supports the general use of quantum-chemical and molecular descriptors in QSAR/QSPR, while Mansouri et al. (2013) supports descriptor-based modeling for ready biodegradability. The limitation is that proxy features are approximations. They should supplement, not replace, measured or chemically validated descriptors.</w:t>
      </w:r>
    </w:p>
    <w:p>
      <w:r>
        <w:br w:type="page"/>
      </w:r>
    </w:p>
    <w:p>
      <w:pPr>
        <w:spacing w:line="480" w:lineRule="auto" w:after="0"/>
        <w:jc w:val="center"/>
      </w:pPr>
      <w:r>
        <w:rPr>
          <w:rFonts w:ascii="Times New Roman" w:hAnsi="Times New Roman"/>
          <w:b/>
          <w:i w:val="0"/>
          <w:sz w:val="24"/>
        </w:rPr>
        <w:t>References</w:t>
      </w:r>
    </w:p>
    <w:p>
      <w:pPr>
        <w:spacing w:line="480" w:lineRule="auto" w:after="0"/>
        <w:ind w:left="720" w:hanging="720"/>
      </w:pPr>
      <w:r>
        <w:rPr>
          <w:rFonts w:ascii="Times New Roman" w:hAnsi="Times New Roman"/>
          <w:i w:val="0"/>
          <w:sz w:val="24"/>
        </w:rPr>
        <w:t xml:space="preserve">Karelson, M., Lobanov, V. S., &amp; Katritzky, A. R. (1996). Quantum-chemical descriptors in QSAR/QSPR studies. </w:t>
      </w:r>
      <w:r>
        <w:rPr>
          <w:rFonts w:ascii="Times New Roman" w:hAnsi="Times New Roman"/>
          <w:i/>
          <w:sz w:val="24"/>
        </w:rPr>
        <w:t>Chemical Reviews, 96</w:t>
      </w:r>
      <w:r>
        <w:rPr>
          <w:rFonts w:ascii="Times New Roman" w:hAnsi="Times New Roman"/>
          <w:i w:val="0"/>
          <w:sz w:val="24"/>
        </w:rPr>
        <w:t>(3), 1027-1044. https://doi.org/10.1021/cr950202r</w:t>
      </w:r>
    </w:p>
    <w:p>
      <w:pPr>
        <w:spacing w:line="480" w:lineRule="auto" w:after="0"/>
        <w:ind w:left="720" w:hanging="720"/>
      </w:pPr>
      <w:r>
        <w:rPr>
          <w:rFonts w:ascii="Times New Roman" w:hAnsi="Times New Roman"/>
          <w:i w:val="0"/>
          <w:sz w:val="24"/>
        </w:rPr>
        <w:t xml:space="preserve">Mansouri, K., Ringsted, T., Ballabio, D., Todeschini, R., &amp; Consonni, V. (2013). Quantitative structure-activity relationship models for ready biodegradability of chemicals. </w:t>
      </w:r>
      <w:r>
        <w:rPr>
          <w:rFonts w:ascii="Times New Roman" w:hAnsi="Times New Roman"/>
          <w:i/>
          <w:sz w:val="24"/>
        </w:rPr>
        <w:t>Journal of Chemical Information and Modeling, 53</w:t>
      </w:r>
      <w:r>
        <w:rPr>
          <w:rFonts w:ascii="Times New Roman" w:hAnsi="Times New Roman"/>
          <w:i w:val="0"/>
          <w:sz w:val="24"/>
        </w:rPr>
        <w:t>(4), 867-878. https://doi.org/10.1021/ci4000213</w:t>
      </w:r>
    </w:p>
    <w:p>
      <w:r>
        <w:br w:type="page"/>
      </w:r>
    </w:p>
    <w:p>
      <w:pPr>
        <w:spacing w:line="480" w:lineRule="auto" w:after="0"/>
        <w:jc w:val="center"/>
      </w:pPr>
      <w:r>
        <w:rPr>
          <w:rFonts w:ascii="Times New Roman" w:hAnsi="Times New Roman"/>
          <w:b/>
          <w:i w:val="0"/>
          <w:sz w:val="24"/>
        </w:rPr>
        <w:t>Appendix</w:t>
      </w:r>
    </w:p>
    <w:p>
      <w:pPr>
        <w:spacing w:line="480" w:lineRule="auto" w:after="0"/>
        <w:jc w:val="center"/>
      </w:pPr>
      <w:r>
        <w:rPr>
          <w:rFonts w:ascii="Times New Roman" w:hAnsi="Times New Roman"/>
          <w:b/>
          <w:i w:val="0"/>
          <w:sz w:val="24"/>
        </w:rPr>
        <w:t>Figure A1</w:t>
      </w:r>
    </w:p>
    <w:p>
      <w:pPr>
        <w:jc w:val="center"/>
      </w:pPr>
      <w:r>
        <w:drawing>
          <wp:inline xmlns:a="http://schemas.openxmlformats.org/drawingml/2006/main" xmlns:pic="http://schemas.openxmlformats.org/drawingml/2006/picture">
            <wp:extent cx="5715000" cy="3469821"/>
            <wp:docPr id="1" name="Picture 1"/>
            <wp:cNvGraphicFramePr>
              <a:graphicFrameLocks noChangeAspect="1"/>
            </wp:cNvGraphicFramePr>
            <a:graphic>
              <a:graphicData uri="http://schemas.openxmlformats.org/drawingml/2006/picture">
                <pic:pic>
                  <pic:nvPicPr>
                    <pic:cNvPr id="0" name="Week_10_Applied_Work_figure_1.png"/>
                    <pic:cNvPicPr/>
                  </pic:nvPicPr>
                  <pic:blipFill>
                    <a:blip r:embed="rId10"/>
                    <a:stretch>
                      <a:fillRect/>
                    </a:stretch>
                  </pic:blipFill>
                  <pic:spPr>
                    <a:xfrm>
                      <a:off x="0" y="0"/>
                      <a:ext cx="5715000" cy="3469821"/>
                    </a:xfrm>
                    <a:prstGeom prst="rect"/>
                  </pic:spPr>
                </pic:pic>
              </a:graphicData>
            </a:graphic>
          </wp:inline>
        </w:drawing>
      </w:r>
    </w:p>
    <w:p>
      <w:pPr>
        <w:spacing w:line="240" w:lineRule="auto" w:after="0"/>
        <w:jc w:val="center"/>
      </w:pPr>
      <w:r>
        <w:rPr>
          <w:rFonts w:ascii="Times New Roman" w:hAnsi="Times New Roman"/>
          <w:b w:val="0"/>
          <w:i/>
          <w:sz w:val="24"/>
        </w:rPr>
        <w:t>Figure A1. FNN gains from chemistry-aware proxy features with SMOTE.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