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10 Outside Reading Report 2: Ready Biodegradability QSAR</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2013</w:t>
      </w:r>
    </w:p>
    <w:p>
      <w:pPr>
        <w:spacing w:line="480" w:lineRule="auto" w:after="0"/>
        <w:ind w:firstLine="720"/>
        <w:jc w:val="left"/>
      </w:pPr>
      <w:r>
        <w:rPr>
          <w:rFonts w:ascii="Times New Roman" w:hAnsi="Times New Roman"/>
          <w:b w:val="0"/>
          <w:i w:val="0"/>
          <w:sz w:val="24"/>
        </w:rPr>
        <w:t>Title: Quantitative structure-activity relationship models for ready biodegradability of chemicals</w:t>
      </w:r>
    </w:p>
    <w:p>
      <w:pPr>
        <w:spacing w:line="480" w:lineRule="auto" w:after="0"/>
        <w:ind w:firstLine="720"/>
        <w:jc w:val="left"/>
      </w:pPr>
      <w:r>
        <w:rPr>
          <w:rFonts w:ascii="Times New Roman" w:hAnsi="Times New Roman"/>
          <w:b w:val="0"/>
          <w:i w:val="0"/>
          <w:sz w:val="24"/>
        </w:rPr>
        <w:t>Contributors: Kamel Mansouri, Tina Ringsted, Davide Ballabio, Roberto Todeschini, and Viviana Consonni</w:t>
      </w:r>
    </w:p>
    <w:p>
      <w:pPr>
        <w:spacing w:line="480" w:lineRule="auto" w:after="0"/>
        <w:ind w:firstLine="720"/>
        <w:jc w:val="left"/>
      </w:pPr>
      <w:r>
        <w:rPr>
          <w:rFonts w:ascii="Times New Roman" w:hAnsi="Times New Roman"/>
          <w:b w:val="0"/>
          <w:i w:val="0"/>
          <w:sz w:val="24"/>
        </w:rPr>
        <w:t>Verified Source: Journal of Chemical Information and Modeling, 53(4), 867-878. DOI: 10.1021/ci4000213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connecting proxy descriptors back to a verified biodegradability QSAR benchmark. It gives the project a verified literature basis for discussing descriptor selection and consensus modeling for ready biodegradability,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Mansouri et al. (2013) is important because it places descriptor selection and consensus modeling for ready biodegradability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connecting proxy descriptors back to a verified biodegradability QSAR benchmark.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descriptor selection and consensus modeling for ready biodegradability,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descriptor selection and consensus modeling for ready biodegradability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connecting proxy descriptors back to a verified biodegradability QSAR benchmark,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connecting proxy descriptors back to a verified biodegradability QSAR benchmark,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ready biodegradability: regulatory biodegradability classification based on standardized screening tests.</w:t>
      </w:r>
    </w:p>
    <w:p>
      <w:pPr>
        <w:spacing w:line="480" w:lineRule="auto" w:after="0"/>
        <w:ind w:firstLine="720"/>
        <w:jc w:val="left"/>
      </w:pPr>
      <w:r>
        <w:rPr>
          <w:rFonts w:ascii="Times New Roman" w:hAnsi="Times New Roman"/>
          <w:b w:val="0"/>
          <w:i w:val="0"/>
          <w:sz w:val="24"/>
        </w:rPr>
        <w:t>descriptor: a numerical feature that captures chemical, structural, or physical information.</w:t>
      </w:r>
    </w:p>
    <w:p>
      <w:pPr>
        <w:spacing w:line="480" w:lineRule="auto" w:after="0"/>
        <w:ind w:firstLine="720"/>
        <w:jc w:val="left"/>
      </w:pPr>
      <w:r>
        <w:rPr>
          <w:rFonts w:ascii="Times New Roman" w:hAnsi="Times New Roman"/>
          <w:b w:val="0"/>
          <w:i w:val="0"/>
          <w:sz w:val="24"/>
        </w:rPr>
        <w:t>consensus model: model that combines multiple predictions.</w:t>
      </w:r>
    </w:p>
    <w:p>
      <w:pPr>
        <w:spacing w:line="480" w:lineRule="auto" w:after="0"/>
        <w:ind w:firstLine="720"/>
        <w:jc w:val="left"/>
      </w:pPr>
      <w:r>
        <w:rPr>
          <w:rFonts w:ascii="Times New Roman" w:hAnsi="Times New Roman"/>
          <w:b w:val="0"/>
          <w:i w:val="0"/>
          <w:sz w:val="24"/>
        </w:rPr>
        <w:t>QSAR: quantitative structure-activity relationship modeling.</w:t>
      </w:r>
    </w:p>
    <w:p>
      <w:pPr>
        <w:spacing w:line="480" w:lineRule="auto" w:after="0"/>
        <w:ind w:firstLine="720"/>
        <w:jc w:val="left"/>
      </w:pPr>
      <w:r>
        <w:rPr>
          <w:rFonts w:ascii="Times New Roman" w:hAnsi="Times New Roman"/>
          <w:b w:val="0"/>
          <w:i w:val="0"/>
          <w:sz w:val="24"/>
        </w:rPr>
        <w:t>classification: prediction of a categorical label.</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