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12 Applied Work: Calibration and Uncertainty Under Distribution Shift</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Introduction</w:t>
      </w:r>
    </w:p>
    <w:p>
      <w:pPr>
        <w:spacing w:line="480" w:lineRule="auto" w:after="0"/>
        <w:ind w:firstLine="720"/>
        <w:jc w:val="left"/>
      </w:pPr>
      <w:r>
        <w:rPr>
          <w:rFonts w:ascii="Times New Roman" w:hAnsi="Times New Roman"/>
          <w:b w:val="0"/>
          <w:i w:val="0"/>
          <w:sz w:val="24"/>
        </w:rPr>
        <w:t>The purpose of Week 12 was to evaluate model reliability rather than only model accuracy. Earlier weeks showed that performance could be improved, but a model used for scientific decision-making also needs to communicate when it may be wrong.</w:t>
      </w:r>
    </w:p>
    <w:p>
      <w:pPr>
        <w:spacing w:line="480" w:lineRule="auto" w:after="0"/>
        <w:ind w:firstLine="720"/>
        <w:jc w:val="left"/>
      </w:pPr>
      <w:r>
        <w:rPr>
          <w:rFonts w:ascii="Times New Roman" w:hAnsi="Times New Roman"/>
          <w:b w:val="0"/>
          <w:i w:val="0"/>
          <w:sz w:val="24"/>
        </w:rPr>
        <w:t>Uncertainty quantification is important in molecular property prediction because model confidence can be misleading when chemical space shifts. Hirschfeld et al. (2020) discuss uncertainty quantification for molecular property prediction using neural networks. Therefore, the Week 12 research question was whether uncertainty and calibration metrics could identify trustworthy and untrustworthy predictions.</w:t>
      </w:r>
    </w:p>
    <w:p>
      <w:pPr>
        <w:spacing w:line="480" w:lineRule="auto" w:after="0"/>
        <w:ind w:firstLine="720"/>
        <w:jc w:val="left"/>
      </w:pPr>
      <w:r>
        <w:rPr>
          <w:rFonts w:ascii="Times New Roman" w:hAnsi="Times New Roman"/>
          <w:b w:val="0"/>
          <w:i w:val="0"/>
          <w:sz w:val="24"/>
        </w:rPr>
        <w:t>Research question. Do confidence and uncertainty estimates identify when biodegradability predictions are less trustworthy?</w:t>
      </w:r>
    </w:p>
    <w:p>
      <w:pPr>
        <w:spacing w:line="480" w:lineRule="auto" w:after="0"/>
        <w:ind w:firstLine="720"/>
        <w:jc w:val="left"/>
      </w:pPr>
      <w:r>
        <w:rPr>
          <w:rFonts w:ascii="Times New Roman" w:hAnsi="Times New Roman"/>
          <w:b w:val="0"/>
          <w:i w:val="0"/>
          <w:sz w:val="24"/>
        </w:rPr>
        <w:t>It was hypothesized that uncertainty would help identify failure cases in ordinary validation, but might become less reliable under distribution shift.</w:t>
      </w:r>
    </w:p>
    <w:p>
      <w:r>
        <w:br w:type="page"/>
      </w:r>
    </w:p>
    <w:p>
      <w:pPr>
        <w:pStyle w:val="Heading1"/>
        <w:spacing w:line="480" w:lineRule="auto" w:after="0"/>
        <w:jc w:val="center"/>
      </w:pPr>
      <w:r>
        <w:rPr>
          <w:rFonts w:ascii="Times New Roman" w:hAnsi="Times New Roman"/>
          <w:b/>
          <w:i w:val="0"/>
          <w:sz w:val="24"/>
        </w:rPr>
        <w:t>Methods and Materials</w:t>
      </w:r>
    </w:p>
    <w:p>
      <w:pPr>
        <w:spacing w:line="480" w:lineRule="auto" w:after="0"/>
        <w:ind w:firstLine="720"/>
        <w:jc w:val="left"/>
      </w:pPr>
      <w:r>
        <w:rPr>
          <w:rFonts w:ascii="Times New Roman" w:hAnsi="Times New Roman"/>
          <w:b w:val="0"/>
          <w:i w:val="0"/>
          <w:sz w:val="24"/>
        </w:rPr>
        <w:t>The analysis evaluated Brier score, log loss, expected calibration error, uncertainty separation between correct and incorrect predictions, selective prediction accuracy, and cross-environment accuracy. Feature sets included full enhanced, top ranked, reduced hybrid, and proxy only.</w:t>
      </w:r>
    </w:p>
    <w:p>
      <w:pPr>
        <w:spacing w:line="480" w:lineRule="auto" w:after="0"/>
        <w:ind w:firstLine="720"/>
        <w:jc w:val="left"/>
      </w:pPr>
      <w:r>
        <w:rPr>
          <w:rFonts w:ascii="Times New Roman" w:hAnsi="Times New Roman"/>
          <w:b w:val="0"/>
          <w:i w:val="0"/>
          <w:sz w:val="24"/>
        </w:rPr>
        <w:t>The cross-environment analysis tested whether confidence remained informative when the data distribution changed. This was important because ordinary validation can overstate reliability.</w:t>
      </w:r>
    </w:p>
    <w:p>
      <w:r>
        <w:br w:type="page"/>
      </w:r>
    </w:p>
    <w:p>
      <w:pPr>
        <w:pStyle w:val="Heading1"/>
        <w:spacing w:line="480" w:lineRule="auto" w:after="0"/>
        <w:jc w:val="center"/>
      </w:pPr>
      <w:r>
        <w:rPr>
          <w:rFonts w:ascii="Times New Roman" w:hAnsi="Times New Roman"/>
          <w:b/>
          <w:i w:val="0"/>
          <w:sz w:val="24"/>
        </w:rPr>
        <w:t>Results</w:t>
      </w:r>
    </w:p>
    <w:p>
      <w:pPr>
        <w:spacing w:line="480" w:lineRule="auto" w:after="0"/>
        <w:ind w:firstLine="720"/>
        <w:jc w:val="left"/>
      </w:pPr>
      <w:r>
        <w:rPr>
          <w:rFonts w:ascii="Times New Roman" w:hAnsi="Times New Roman"/>
          <w:b w:val="0"/>
          <w:i w:val="0"/>
          <w:sz w:val="24"/>
        </w:rPr>
        <w:t>Under standard validation, the full enhanced feature set achieved accuracy of 0.8711, ROC-AUC of 0.9335, and Brier score of 0.0950. The top ranked feature set produced strong calibration, with Brier score of 0.1003, log loss of 0.3312, and expected calibration error of 0.0297. For the full enhanced set, mean uncertainty was 0.1453 for correct predictions and 0.3180 for incorrect predictions.</w:t>
      </w:r>
    </w:p>
    <w:p>
      <w:pPr>
        <w:spacing w:line="480" w:lineRule="auto" w:after="0"/>
        <w:ind w:firstLine="720"/>
        <w:jc w:val="left"/>
      </w:pPr>
      <w:r>
        <w:rPr>
          <w:rFonts w:ascii="Times New Roman" w:hAnsi="Times New Roman"/>
          <w:b w:val="0"/>
          <w:i w:val="0"/>
          <w:sz w:val="24"/>
        </w:rPr>
        <w:t>Under cross-environment testing, performance dropped substantially. Top ranked achieved cross-environment accuracy of 0.5848, full enhanced achieved 0.4436, and proxy only achieved 0.2493. Appendix Figure A1 summarizes the reliability signals.</w:t>
      </w:r>
    </w:p>
    <w:p>
      <w:pPr>
        <w:spacing w:line="480" w:lineRule="auto" w:after="0"/>
        <w:jc w:val="center"/>
      </w:pPr>
      <w:r>
        <w:rPr>
          <w:rFonts w:ascii="Times New Roman" w:hAnsi="Times New Roman"/>
          <w:b/>
          <w:i w:val="0"/>
          <w:sz w:val="24"/>
        </w:rPr>
        <w:t>Table 1</w:t>
      </w:r>
    </w:p>
    <w:p>
      <w:pPr>
        <w:spacing w:line="480" w:lineRule="auto" w:after="0"/>
        <w:jc w:val="center"/>
      </w:pPr>
      <w:r>
        <w:rPr>
          <w:rFonts w:ascii="Times New Roman" w:hAnsi="Times New Roman"/>
          <w:b w:val="0"/>
          <w:i/>
          <w:sz w:val="24"/>
        </w:rPr>
        <w:t>Week 12 Calibration and Uncertainty Under Distribution Shift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40" w:lineRule="auto"/>
            </w:pPr>
            <w:r>
              <w:rPr>
                <w:rFonts w:ascii="Times New Roman" w:hAnsi="Times New Roman"/>
                <w:b/>
                <w:sz w:val="20"/>
              </w:rPr>
              <w:t>Feature set</w:t>
            </w:r>
          </w:p>
        </w:tc>
        <w:tc>
          <w:tcPr>
            <w:tcW w:type="dxa" w:w="2340"/>
            <w:vAlign w:val="center"/>
          </w:tcPr>
          <w:p>
            <w:pPr>
              <w:spacing w:line="240" w:lineRule="auto"/>
            </w:pPr>
            <w:r>
              <w:rPr>
                <w:rFonts w:ascii="Times New Roman" w:hAnsi="Times New Roman"/>
                <w:b/>
                <w:sz w:val="20"/>
              </w:rPr>
              <w:t>Brier score</w:t>
            </w:r>
          </w:p>
        </w:tc>
        <w:tc>
          <w:tcPr>
            <w:tcW w:type="dxa" w:w="2340"/>
            <w:vAlign w:val="center"/>
          </w:tcPr>
          <w:p>
            <w:pPr>
              <w:spacing w:line="240" w:lineRule="auto"/>
            </w:pPr>
            <w:r>
              <w:rPr>
                <w:rFonts w:ascii="Times New Roman" w:hAnsi="Times New Roman"/>
                <w:b/>
                <w:sz w:val="20"/>
              </w:rPr>
              <w:t>Cross-environment accuracy</w:t>
            </w:r>
          </w:p>
        </w:tc>
        <w:tc>
          <w:tcPr>
            <w:tcW w:type="dxa" w:w="2340"/>
            <w:vAlign w:val="center"/>
          </w:tcPr>
          <w:p>
            <w:pPr>
              <w:spacing w:line="240" w:lineRule="auto"/>
            </w:pPr>
            <w:r>
              <w:rPr>
                <w:rFonts w:ascii="Times New Roman" w:hAnsi="Times New Roman"/>
                <w:b/>
                <w:sz w:val="20"/>
              </w:rPr>
              <w:t>Interpretation</w:t>
            </w:r>
          </w:p>
        </w:tc>
      </w:tr>
      <w:tr>
        <w:tc>
          <w:tcPr>
            <w:tcW w:type="dxa" w:w="2340"/>
            <w:vAlign w:val="center"/>
          </w:tcPr>
          <w:p>
            <w:pPr>
              <w:spacing w:line="240" w:lineRule="auto"/>
            </w:pPr>
            <w:r>
              <w:rPr>
                <w:rFonts w:ascii="Times New Roman" w:hAnsi="Times New Roman"/>
                <w:sz w:val="18"/>
              </w:rPr>
              <w:t>Top ranked</w:t>
            </w:r>
          </w:p>
        </w:tc>
        <w:tc>
          <w:tcPr>
            <w:tcW w:type="dxa" w:w="2340"/>
            <w:vAlign w:val="center"/>
          </w:tcPr>
          <w:p>
            <w:pPr>
              <w:spacing w:line="240" w:lineRule="auto"/>
            </w:pPr>
            <w:r>
              <w:rPr>
                <w:rFonts w:ascii="Times New Roman" w:hAnsi="Times New Roman"/>
                <w:sz w:val="18"/>
              </w:rPr>
              <w:t>0.0950</w:t>
            </w:r>
          </w:p>
        </w:tc>
        <w:tc>
          <w:tcPr>
            <w:tcW w:type="dxa" w:w="2340"/>
            <w:vAlign w:val="center"/>
          </w:tcPr>
          <w:p>
            <w:pPr>
              <w:spacing w:line="240" w:lineRule="auto"/>
            </w:pPr>
            <w:r>
              <w:rPr>
                <w:rFonts w:ascii="Times New Roman" w:hAnsi="Times New Roman"/>
                <w:sz w:val="18"/>
              </w:rPr>
              <w:t>0.5848</w:t>
            </w:r>
          </w:p>
        </w:tc>
        <w:tc>
          <w:tcPr>
            <w:tcW w:type="dxa" w:w="2340"/>
            <w:vAlign w:val="center"/>
          </w:tcPr>
          <w:p>
            <w:pPr>
              <w:spacing w:line="240" w:lineRule="auto"/>
            </w:pPr>
            <w:r>
              <w:rPr>
                <w:rFonts w:ascii="Times New Roman" w:hAnsi="Times New Roman"/>
                <w:sz w:val="18"/>
              </w:rPr>
              <w:t>Best balance in the plotted reliability summary.</w:t>
            </w:r>
          </w:p>
        </w:tc>
      </w:tr>
      <w:tr>
        <w:tc>
          <w:tcPr>
            <w:tcW w:type="dxa" w:w="2340"/>
            <w:vAlign w:val="center"/>
          </w:tcPr>
          <w:p>
            <w:pPr>
              <w:spacing w:line="240" w:lineRule="auto"/>
            </w:pPr>
            <w:r>
              <w:rPr>
                <w:rFonts w:ascii="Times New Roman" w:hAnsi="Times New Roman"/>
                <w:sz w:val="18"/>
              </w:rPr>
              <w:t>Reduced hybrid</w:t>
            </w:r>
          </w:p>
        </w:tc>
        <w:tc>
          <w:tcPr>
            <w:tcW w:type="dxa" w:w="2340"/>
            <w:vAlign w:val="center"/>
          </w:tcPr>
          <w:p>
            <w:pPr>
              <w:spacing w:line="240" w:lineRule="auto"/>
            </w:pPr>
            <w:r>
              <w:rPr>
                <w:rFonts w:ascii="Times New Roman" w:hAnsi="Times New Roman"/>
                <w:sz w:val="18"/>
              </w:rPr>
              <w:t>0.1048</w:t>
            </w:r>
          </w:p>
        </w:tc>
        <w:tc>
          <w:tcPr>
            <w:tcW w:type="dxa" w:w="2340"/>
            <w:vAlign w:val="center"/>
          </w:tcPr>
          <w:p>
            <w:pPr>
              <w:spacing w:line="240" w:lineRule="auto"/>
            </w:pPr>
            <w:r>
              <w:rPr>
                <w:rFonts w:ascii="Times New Roman" w:hAnsi="Times New Roman"/>
                <w:sz w:val="18"/>
              </w:rPr>
              <w:t>0.4436</w:t>
            </w:r>
          </w:p>
        </w:tc>
        <w:tc>
          <w:tcPr>
            <w:tcW w:type="dxa" w:w="2340"/>
            <w:vAlign w:val="center"/>
          </w:tcPr>
          <w:p>
            <w:pPr>
              <w:spacing w:line="240" w:lineRule="auto"/>
            </w:pPr>
            <w:r>
              <w:rPr>
                <w:rFonts w:ascii="Times New Roman" w:hAnsi="Times New Roman"/>
                <w:sz w:val="18"/>
              </w:rPr>
              <w:t>Moderate reliability.</w:t>
            </w:r>
          </w:p>
        </w:tc>
      </w:tr>
      <w:tr>
        <w:tc>
          <w:tcPr>
            <w:tcW w:type="dxa" w:w="2340"/>
            <w:vAlign w:val="center"/>
          </w:tcPr>
          <w:p>
            <w:pPr>
              <w:spacing w:line="240" w:lineRule="auto"/>
            </w:pPr>
            <w:r>
              <w:rPr>
                <w:rFonts w:ascii="Times New Roman" w:hAnsi="Times New Roman"/>
                <w:sz w:val="18"/>
              </w:rPr>
              <w:t>Proxy only</w:t>
            </w:r>
          </w:p>
        </w:tc>
        <w:tc>
          <w:tcPr>
            <w:tcW w:type="dxa" w:w="2340"/>
            <w:vAlign w:val="center"/>
          </w:tcPr>
          <w:p>
            <w:pPr>
              <w:spacing w:line="240" w:lineRule="auto"/>
            </w:pPr>
            <w:r>
              <w:rPr>
                <w:rFonts w:ascii="Times New Roman" w:hAnsi="Times New Roman"/>
                <w:sz w:val="18"/>
              </w:rPr>
              <w:t>0.1236</w:t>
            </w:r>
          </w:p>
        </w:tc>
        <w:tc>
          <w:tcPr>
            <w:tcW w:type="dxa" w:w="2340"/>
            <w:vAlign w:val="center"/>
          </w:tcPr>
          <w:p>
            <w:pPr>
              <w:spacing w:line="240" w:lineRule="auto"/>
            </w:pPr>
            <w:r>
              <w:rPr>
                <w:rFonts w:ascii="Times New Roman" w:hAnsi="Times New Roman"/>
                <w:sz w:val="18"/>
              </w:rPr>
              <w:t>0.2493</w:t>
            </w:r>
          </w:p>
        </w:tc>
        <w:tc>
          <w:tcPr>
            <w:tcW w:type="dxa" w:w="2340"/>
            <w:vAlign w:val="center"/>
          </w:tcPr>
          <w:p>
            <w:pPr>
              <w:spacing w:line="240" w:lineRule="auto"/>
            </w:pPr>
            <w:r>
              <w:rPr>
                <w:rFonts w:ascii="Times New Roman" w:hAnsi="Times New Roman"/>
                <w:sz w:val="18"/>
              </w:rPr>
              <w:t>Weak transfer and overconfidence risk.</w:t>
            </w:r>
          </w:p>
        </w:tc>
      </w:tr>
    </w:tbl>
    <w:p>
      <w:r>
        <w:br w:type="page"/>
      </w:r>
    </w:p>
    <w:p>
      <w:pPr>
        <w:pStyle w:val="Heading1"/>
        <w:spacing w:line="480" w:lineRule="auto" w:after="0"/>
        <w:jc w:val="center"/>
      </w:pPr>
      <w:r>
        <w:rPr>
          <w:rFonts w:ascii="Times New Roman" w:hAnsi="Times New Roman"/>
          <w:b/>
          <w:i w:val="0"/>
          <w:sz w:val="24"/>
        </w:rPr>
        <w:t>Discussion</w:t>
      </w:r>
    </w:p>
    <w:p>
      <w:pPr>
        <w:spacing w:line="480" w:lineRule="auto" w:after="0"/>
        <w:ind w:firstLine="720"/>
        <w:jc w:val="left"/>
      </w:pPr>
      <w:r>
        <w:rPr>
          <w:rFonts w:ascii="Times New Roman" w:hAnsi="Times New Roman"/>
          <w:b w:val="0"/>
          <w:i w:val="0"/>
          <w:sz w:val="24"/>
        </w:rPr>
        <w:t>The Week 12 hypothesis was supported. Uncertainty helped distinguish correct from incorrect predictions in ordinary validation, but confidence became less reliable under distribution shift. The logic is that a model can be well calibrated inside its training-like domain while still becoming overconfident outside that domain.</w:t>
      </w:r>
    </w:p>
    <w:p>
      <w:pPr>
        <w:spacing w:line="480" w:lineRule="auto" w:after="0"/>
        <w:ind w:firstLine="720"/>
        <w:jc w:val="left"/>
      </w:pPr>
      <w:r>
        <w:rPr>
          <w:rFonts w:ascii="Times New Roman" w:hAnsi="Times New Roman"/>
          <w:b w:val="0"/>
          <w:i w:val="0"/>
          <w:sz w:val="24"/>
        </w:rPr>
        <w:t>This claim is supported by Hirschfeld et al. (2020), who frame uncertainty as a key issue in molecular property prediction, and by Vaicenavicius et al. (2019), who discuss calibration evaluation in classification. The limitation is that calibration analysis identifies reliability problems but does not automatically solve them. Future work should test calibration correction, applicability-domain methods, and confident-failure analysis.</w:t>
      </w:r>
    </w:p>
    <w:p>
      <w:r>
        <w:br w:type="page"/>
      </w:r>
    </w:p>
    <w:p>
      <w:pPr>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Hirschfeld, L., Swanson, K., Yang, K., Barzilay, R., &amp; Coley, C. W. (2020). Uncertainty quantification using neural networks for molecular property prediction. </w:t>
      </w:r>
      <w:r>
        <w:rPr>
          <w:rFonts w:ascii="Times New Roman" w:hAnsi="Times New Roman"/>
          <w:i/>
          <w:sz w:val="24"/>
        </w:rPr>
        <w:t>Journal of Chemical Information and Modeling, 60</w:t>
      </w:r>
      <w:r>
        <w:rPr>
          <w:rFonts w:ascii="Times New Roman" w:hAnsi="Times New Roman"/>
          <w:i w:val="0"/>
          <w:sz w:val="24"/>
        </w:rPr>
        <w:t>(8), 3770-3780. https://doi.org/10.1021/acs.jcim.0c00502</w:t>
      </w:r>
    </w:p>
    <w:p>
      <w:pPr>
        <w:spacing w:line="480" w:lineRule="auto" w:after="0"/>
        <w:ind w:left="720" w:hanging="720"/>
      </w:pPr>
      <w:r>
        <w:rPr>
          <w:rFonts w:ascii="Times New Roman" w:hAnsi="Times New Roman"/>
          <w:i w:val="0"/>
          <w:sz w:val="24"/>
        </w:rPr>
        <w:t xml:space="preserve">Vaicenavicius, J., Widmann, D., Andersson, C., Lindsten, F., Roll, J., &amp; Schon, T. B. (2019). Evaluating model calibration in classification. </w:t>
      </w:r>
      <w:r>
        <w:rPr>
          <w:rFonts w:ascii="Times New Roman" w:hAnsi="Times New Roman"/>
          <w:i/>
          <w:sz w:val="24"/>
        </w:rPr>
        <w:t>Proceedings of Machine Learning Research, 89</w:t>
      </w:r>
      <w:r>
        <w:rPr>
          <w:rFonts w:ascii="Times New Roman" w:hAnsi="Times New Roman"/>
          <w:i w:val="0"/>
          <w:sz w:val="24"/>
        </w:rPr>
        <w:t>, 3459-3467.</w:t>
      </w:r>
    </w:p>
    <w:p>
      <w:r>
        <w:br w:type="page"/>
      </w:r>
    </w:p>
    <w:p>
      <w:pPr>
        <w:spacing w:line="480" w:lineRule="auto" w:after="0"/>
        <w:jc w:val="center"/>
      </w:pPr>
      <w:r>
        <w:rPr>
          <w:rFonts w:ascii="Times New Roman" w:hAnsi="Times New Roman"/>
          <w:b/>
          <w:i w:val="0"/>
          <w:sz w:val="24"/>
        </w:rPr>
        <w:t>Appendix</w:t>
      </w:r>
    </w:p>
    <w:p>
      <w:pPr>
        <w:spacing w:line="480" w:lineRule="auto" w:after="0"/>
        <w:jc w:val="center"/>
      </w:pPr>
      <w:r>
        <w:rPr>
          <w:rFonts w:ascii="Times New Roman" w:hAnsi="Times New Roman"/>
          <w:b/>
          <w:i w:val="0"/>
          <w:sz w:val="24"/>
        </w:rPr>
        <w:t>Figure A1</w:t>
      </w:r>
    </w:p>
    <w:p>
      <w:pPr>
        <w:jc w:val="center"/>
      </w:pPr>
      <w:r>
        <w:drawing>
          <wp:inline xmlns:a="http://schemas.openxmlformats.org/drawingml/2006/main" xmlns:pic="http://schemas.openxmlformats.org/drawingml/2006/picture">
            <wp:extent cx="5715000" cy="3469821"/>
            <wp:docPr id="1" name="Picture 1"/>
            <wp:cNvGraphicFramePr>
              <a:graphicFrameLocks noChangeAspect="1"/>
            </wp:cNvGraphicFramePr>
            <a:graphic>
              <a:graphicData uri="http://schemas.openxmlformats.org/drawingml/2006/picture">
                <pic:pic>
                  <pic:nvPicPr>
                    <pic:cNvPr id="0" name="Week_12_Applied_Work_figure_1.png"/>
                    <pic:cNvPicPr/>
                  </pic:nvPicPr>
                  <pic:blipFill>
                    <a:blip r:embed="rId10"/>
                    <a:stretch>
                      <a:fillRect/>
                    </a:stretch>
                  </pic:blipFill>
                  <pic:spPr>
                    <a:xfrm>
                      <a:off x="0" y="0"/>
                      <a:ext cx="5715000" cy="3469821"/>
                    </a:xfrm>
                    <a:prstGeom prst="rect"/>
                  </pic:spPr>
                </pic:pic>
              </a:graphicData>
            </a:graphic>
          </wp:inline>
        </w:drawing>
      </w:r>
    </w:p>
    <w:p>
      <w:pPr>
        <w:spacing w:line="240" w:lineRule="auto" w:after="0"/>
        <w:jc w:val="center"/>
      </w:pPr>
      <w:r>
        <w:rPr>
          <w:rFonts w:ascii="Times New Roman" w:hAnsi="Times New Roman"/>
          <w:b w:val="0"/>
          <w:i/>
          <w:sz w:val="24"/>
        </w:rPr>
        <w:t>Figure A1. Calibration and cross-environment reliability differed across feature sets.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