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12 Outside Reading Report 1: Uncertainty Quantification for Molecular Property Prediction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2020</w:t>
      </w:r>
    </w:p>
    <w:p>
      <w:pPr>
        <w:spacing w:line="480" w:lineRule="auto" w:after="0"/>
        <w:ind w:firstLine="720"/>
        <w:jc w:val="left"/>
      </w:pPr>
      <w:r>
        <w:rPr>
          <w:rFonts w:ascii="Times New Roman" w:hAnsi="Times New Roman"/>
          <w:b w:val="0"/>
          <w:i w:val="0"/>
          <w:sz w:val="24"/>
        </w:rPr>
        <w:t>Title: Uncertainty quantification using neural networks for molecular property prediction</w:t>
      </w:r>
    </w:p>
    <w:p>
      <w:pPr>
        <w:spacing w:line="480" w:lineRule="auto" w:after="0"/>
        <w:ind w:firstLine="720"/>
        <w:jc w:val="left"/>
      </w:pPr>
      <w:r>
        <w:rPr>
          <w:rFonts w:ascii="Times New Roman" w:hAnsi="Times New Roman"/>
          <w:b w:val="0"/>
          <w:i w:val="0"/>
          <w:sz w:val="24"/>
        </w:rPr>
        <w:t>Contributors: Lior Hirschfeld, Kyle Swanson, Kevin Yang, Regina Barzilay, and Connor W. Coley</w:t>
      </w:r>
    </w:p>
    <w:p>
      <w:pPr>
        <w:spacing w:line="480" w:lineRule="auto" w:after="0"/>
        <w:ind w:firstLine="720"/>
        <w:jc w:val="left"/>
      </w:pPr>
      <w:r>
        <w:rPr>
          <w:rFonts w:ascii="Times New Roman" w:hAnsi="Times New Roman"/>
          <w:b w:val="0"/>
          <w:i w:val="0"/>
          <w:sz w:val="24"/>
        </w:rPr>
        <w:t>Verified Source: Journal of Chemical Information and Modeling, 60(8), 3770-3780. DOI: 10.1021/acs.jcim.0c00502</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evaluating whether biodegradability models know when they may be wrong. It gives the project a verified literature basis for discussing uncertainty estimation methods for neural-network molecular property prediction,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Hirschfeld et al. (2020) is important because it places uncertainty estimation methods for neural-network molecular property prediction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evaluating whether biodegradability models know when they may be wrong.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uncertainty estimation methods for neural-network molecular property prediction,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uncertainty estimation methods for neural-network molecular property prediction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evaluating whether biodegradability models know when they may be wrong,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evaluating whether biodegradability models know when they may be wrong,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uncertainty quantification: estimation of prediction uncertainty.</w:t>
      </w:r>
    </w:p>
    <w:p>
      <w:pPr>
        <w:spacing w:line="480" w:lineRule="auto" w:after="0"/>
        <w:ind w:firstLine="720"/>
        <w:jc w:val="left"/>
      </w:pPr>
      <w:r>
        <w:rPr>
          <w:rFonts w:ascii="Times New Roman" w:hAnsi="Times New Roman"/>
          <w:b w:val="0"/>
          <w:i w:val="0"/>
          <w:sz w:val="24"/>
        </w:rPr>
        <w:t>ensemble: combination of multiple models.</w:t>
      </w:r>
    </w:p>
    <w:p>
      <w:pPr>
        <w:spacing w:line="480" w:lineRule="auto" w:after="0"/>
        <w:ind w:firstLine="720"/>
        <w:jc w:val="left"/>
      </w:pPr>
      <w:r>
        <w:rPr>
          <w:rFonts w:ascii="Times New Roman" w:hAnsi="Times New Roman"/>
          <w:b w:val="0"/>
          <w:i w:val="0"/>
          <w:sz w:val="24"/>
        </w:rPr>
        <w:t>calibration: agreement between predicted confidence and observed correctness.</w:t>
      </w:r>
    </w:p>
    <w:p>
      <w:pPr>
        <w:spacing w:line="480" w:lineRule="auto" w:after="0"/>
        <w:ind w:firstLine="720"/>
        <w:jc w:val="left"/>
      </w:pPr>
      <w:r>
        <w:rPr>
          <w:rFonts w:ascii="Times New Roman" w:hAnsi="Times New Roman"/>
          <w:b w:val="0"/>
          <w:i w:val="0"/>
          <w:sz w:val="24"/>
        </w:rPr>
        <w:t>molecular property: measurable chemical or material property.</w:t>
      </w:r>
    </w:p>
    <w:p>
      <w:pPr>
        <w:spacing w:line="480" w:lineRule="auto" w:after="0"/>
        <w:ind w:firstLine="720"/>
        <w:jc w:val="left"/>
      </w:pPr>
      <w:r>
        <w:rPr>
          <w:rFonts w:ascii="Times New Roman" w:hAnsi="Times New Roman"/>
          <w:b w:val="0"/>
          <w:i w:val="0"/>
          <w:sz w:val="24"/>
        </w:rPr>
        <w:t>distribution shift: difference between training data and future data.</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Hirschfeld, L., Swanson, K., Yang, K., Barzilay, R., &amp; Coley, C. W. (2020). Uncertainty quantification using neural networks for molecular property prediction. </w:t>
      </w:r>
      <w:r>
        <w:rPr>
          <w:rFonts w:ascii="Times New Roman" w:hAnsi="Times New Roman"/>
          <w:i/>
          <w:sz w:val="24"/>
        </w:rPr>
        <w:t>Journal of Chemical Information and Modeling, 60</w:t>
      </w:r>
      <w:r>
        <w:rPr>
          <w:rFonts w:ascii="Times New Roman" w:hAnsi="Times New Roman"/>
          <w:i w:val="0"/>
          <w:sz w:val="24"/>
        </w:rPr>
        <w:t>(8), 3770-3780. https://doi.org/10.1021/acs.jcim.0c00502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