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13 Outside Reading Report 1: Evaluating Model Calibration</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2019</w:t>
      </w:r>
    </w:p>
    <w:p>
      <w:pPr>
        <w:spacing w:line="480" w:lineRule="auto" w:after="0"/>
        <w:ind w:firstLine="720"/>
        <w:jc w:val="left"/>
      </w:pPr>
      <w:r>
        <w:rPr>
          <w:rFonts w:ascii="Times New Roman" w:hAnsi="Times New Roman"/>
          <w:b w:val="0"/>
          <w:i w:val="0"/>
          <w:sz w:val="24"/>
        </w:rPr>
        <w:t>Title: Evaluating model calibration in classification</w:t>
      </w:r>
    </w:p>
    <w:p>
      <w:pPr>
        <w:spacing w:line="480" w:lineRule="auto" w:after="0"/>
        <w:ind w:firstLine="720"/>
        <w:jc w:val="left"/>
      </w:pPr>
      <w:r>
        <w:rPr>
          <w:rFonts w:ascii="Times New Roman" w:hAnsi="Times New Roman"/>
          <w:b w:val="0"/>
          <w:i w:val="0"/>
          <w:sz w:val="24"/>
        </w:rPr>
        <w:t>Contributors: Juozas Vaicenavicius, David Widmann, Carl Andersson, Fredrik Lindsten, Jacob Roll, and Thomas B. Schon</w:t>
      </w:r>
    </w:p>
    <w:p>
      <w:pPr>
        <w:spacing w:line="480" w:lineRule="auto" w:after="0"/>
        <w:ind w:firstLine="720"/>
        <w:jc w:val="left"/>
      </w:pPr>
      <w:r>
        <w:rPr>
          <w:rFonts w:ascii="Times New Roman" w:hAnsi="Times New Roman"/>
          <w:b w:val="0"/>
          <w:i w:val="0"/>
          <w:sz w:val="24"/>
        </w:rPr>
        <w:t>Verified Source: Proceedings of Machine Learning Research, 89, 3459-3467.</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supporting the final model selection through calibration and reliability analysis. It gives the project a verified literature basis for discussing classification calibration, reliability diagrams, ECE limitations, and probabilistic trustworthiness,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Vaicenavicius et al. (2019) is important because it places classification calibration, reliability diagrams, ECE limitations, and probabilistic trustworthiness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supporting the final model selection through calibration and reliability analysis.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classification calibration, reliability diagrams, ECE limitations, and probabilistic trustworthiness,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classification calibration, reliability diagrams, ECE limitations, and probabilistic trustworthiness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supporting the final model selection through calibration and reliability analysis,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supporting the final model selection through calibration and reliability analysis,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calibration: agreement between predicted confidence and observed correctness.</w:t>
      </w:r>
    </w:p>
    <w:p>
      <w:pPr>
        <w:spacing w:line="480" w:lineRule="auto" w:after="0"/>
        <w:ind w:firstLine="720"/>
        <w:jc w:val="left"/>
      </w:pPr>
      <w:r>
        <w:rPr>
          <w:rFonts w:ascii="Times New Roman" w:hAnsi="Times New Roman"/>
          <w:b w:val="0"/>
          <w:i w:val="0"/>
          <w:sz w:val="24"/>
        </w:rPr>
        <w:t>ECE: expected calibration error.</w:t>
      </w:r>
    </w:p>
    <w:p>
      <w:pPr>
        <w:spacing w:line="480" w:lineRule="auto" w:after="0"/>
        <w:ind w:firstLine="720"/>
        <w:jc w:val="left"/>
      </w:pPr>
      <w:r>
        <w:rPr>
          <w:rFonts w:ascii="Times New Roman" w:hAnsi="Times New Roman"/>
          <w:b w:val="0"/>
          <w:i w:val="0"/>
          <w:sz w:val="24"/>
        </w:rPr>
        <w:t>reliability diagram: plot comparing predicted confidence with observed correctness.</w:t>
      </w:r>
    </w:p>
    <w:p>
      <w:pPr>
        <w:spacing w:line="480" w:lineRule="auto" w:after="0"/>
        <w:ind w:firstLine="720"/>
        <w:jc w:val="left"/>
      </w:pPr>
      <w:r>
        <w:rPr>
          <w:rFonts w:ascii="Times New Roman" w:hAnsi="Times New Roman"/>
          <w:b w:val="0"/>
          <w:i w:val="0"/>
          <w:sz w:val="24"/>
        </w:rPr>
        <w:t>probability estimate: model output interpreted as probability.</w:t>
      </w:r>
    </w:p>
    <w:p>
      <w:pPr>
        <w:spacing w:line="480" w:lineRule="auto" w:after="0"/>
        <w:ind w:firstLine="720"/>
        <w:jc w:val="left"/>
      </w:pPr>
      <w:r>
        <w:rPr>
          <w:rFonts w:ascii="Times New Roman" w:hAnsi="Times New Roman"/>
          <w:b w:val="0"/>
          <w:i w:val="0"/>
          <w:sz w:val="24"/>
        </w:rPr>
        <w:t>Brier score: squared-error metric for probabilistic classification.</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Vaicenavicius, J., Widmann, D., Andersson, C., Lindsten, F., Roll, J., &amp; Schon, T. B. (2019). Evaluating model calibration in classification. </w:t>
      </w:r>
      <w:r>
        <w:rPr>
          <w:rFonts w:ascii="Times New Roman" w:hAnsi="Times New Roman"/>
          <w:i/>
          <w:sz w:val="24"/>
        </w:rPr>
        <w:t>Proceedings of Machine Learning Research, 89</w:t>
      </w:r>
      <w:r>
        <w:rPr>
          <w:rFonts w:ascii="Times New Roman" w:hAnsi="Times New Roman"/>
          <w:i w:val="0"/>
          <w:sz w:val="24"/>
        </w:rPr>
        <w:t>, 3459-3467.</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