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7F72" w14:textId="1E4372CA" w:rsidR="00223CA5" w:rsidRPr="00381631" w:rsidRDefault="00223CA5" w:rsidP="00381631">
      <w:pPr>
        <w:spacing w:after="0"/>
        <w:rPr>
          <w:rFonts w:ascii="Times New Roman" w:hAnsi="Times New Roman" w:cs="Times New Roman"/>
        </w:rPr>
      </w:pPr>
      <w:r w:rsidRPr="00381631">
        <w:rPr>
          <w:rFonts w:ascii="Times New Roman" w:hAnsi="Times New Roman" w:cs="Times New Roman"/>
        </w:rPr>
        <w:t xml:space="preserve">Zachary MARIANI </w:t>
      </w:r>
    </w:p>
    <w:p w14:paraId="1C976063" w14:textId="6C482877" w:rsidR="00223CA5" w:rsidRPr="00381631" w:rsidRDefault="00223CA5" w:rsidP="00381631">
      <w:pPr>
        <w:spacing w:after="0"/>
        <w:rPr>
          <w:rFonts w:ascii="Times New Roman" w:hAnsi="Times New Roman" w:cs="Times New Roman"/>
        </w:rPr>
      </w:pPr>
      <w:r w:rsidRPr="00381631">
        <w:rPr>
          <w:rFonts w:ascii="Times New Roman" w:hAnsi="Times New Roman" w:cs="Times New Roman"/>
        </w:rPr>
        <w:t xml:space="preserve">August 29, 2023 </w:t>
      </w:r>
    </w:p>
    <w:p w14:paraId="7F9A3B91" w14:textId="2745575E" w:rsidR="008A3D36" w:rsidRPr="00381631" w:rsidRDefault="00223CA5" w:rsidP="00265092">
      <w:pPr>
        <w:spacing w:after="0"/>
        <w:jc w:val="center"/>
        <w:rPr>
          <w:rFonts w:ascii="Times New Roman" w:hAnsi="Times New Roman" w:cs="Times New Roman"/>
          <w:b/>
          <w:bCs/>
        </w:rPr>
      </w:pPr>
      <w:r w:rsidRPr="00381631">
        <w:rPr>
          <w:rFonts w:ascii="Times New Roman" w:hAnsi="Times New Roman" w:cs="Times New Roman"/>
          <w:b/>
          <w:bCs/>
        </w:rPr>
        <w:t>Coffee Market TAM Assignment</w:t>
      </w:r>
    </w:p>
    <w:p w14:paraId="2EF81E75" w14:textId="114C5DD2" w:rsidR="00223CA5" w:rsidRPr="00381631" w:rsidRDefault="00223CA5" w:rsidP="00AE2B9B">
      <w:pPr>
        <w:jc w:val="both"/>
        <w:rPr>
          <w:rFonts w:ascii="Times New Roman" w:hAnsi="Times New Roman" w:cs="Times New Roman"/>
        </w:rPr>
      </w:pPr>
      <w:r w:rsidRPr="009E3325">
        <w:rPr>
          <w:rFonts w:ascii="Times New Roman" w:hAnsi="Times New Roman" w:cs="Times New Roman"/>
          <w:b/>
          <w:bCs/>
        </w:rPr>
        <w:t>Methodology:</w:t>
      </w:r>
      <w:r w:rsidRPr="00381631">
        <w:rPr>
          <w:rFonts w:ascii="Times New Roman" w:hAnsi="Times New Roman" w:cs="Times New Roman"/>
        </w:rPr>
        <w:t xml:space="preserve"> </w:t>
      </w:r>
      <w:r w:rsidR="00381631">
        <w:rPr>
          <w:rFonts w:ascii="Times New Roman" w:hAnsi="Times New Roman" w:cs="Times New Roman"/>
        </w:rPr>
        <w:t xml:space="preserve">I attempt to size the market for coffee and </w:t>
      </w:r>
      <w:r w:rsidR="00EE4E6D">
        <w:rPr>
          <w:rFonts w:ascii="Times New Roman" w:hAnsi="Times New Roman" w:cs="Times New Roman"/>
        </w:rPr>
        <w:t>appliances</w:t>
      </w:r>
      <w:r w:rsidR="00381631">
        <w:rPr>
          <w:rFonts w:ascii="Times New Roman" w:hAnsi="Times New Roman" w:cs="Times New Roman"/>
        </w:rPr>
        <w:t xml:space="preserve"> as is directly relevant to Keurig. Throughout this analysis, I broadly excluded from consideration the impact of coffee away from home (</w:t>
      </w:r>
      <w:r w:rsidR="000571FF">
        <w:rPr>
          <w:rFonts w:ascii="Times New Roman" w:hAnsi="Times New Roman" w:cs="Times New Roman"/>
        </w:rPr>
        <w:t>i.e.,</w:t>
      </w:r>
      <w:r w:rsidR="00381631">
        <w:rPr>
          <w:rFonts w:ascii="Times New Roman" w:hAnsi="Times New Roman" w:cs="Times New Roman"/>
        </w:rPr>
        <w:t xml:space="preserve"> at office, at a coffeeshop, or in hotels). Keurig claimed in a 2018 Investor Presentation that it had 800k machines in hotels which was immaterial </w:t>
      </w:r>
      <w:r w:rsidR="00EE4E6D">
        <w:rPr>
          <w:rFonts w:ascii="Times New Roman" w:hAnsi="Times New Roman" w:cs="Times New Roman"/>
        </w:rPr>
        <w:t>compared</w:t>
      </w:r>
      <w:r w:rsidR="00381631">
        <w:rPr>
          <w:rFonts w:ascii="Times New Roman" w:hAnsi="Times New Roman" w:cs="Times New Roman"/>
        </w:rPr>
        <w:t xml:space="preserve"> to </w:t>
      </w:r>
      <w:r w:rsidR="00103974">
        <w:rPr>
          <w:rFonts w:ascii="Times New Roman" w:hAnsi="Times New Roman" w:cs="Times New Roman"/>
        </w:rPr>
        <w:t>4</w:t>
      </w:r>
      <w:r w:rsidR="00381631">
        <w:rPr>
          <w:rFonts w:ascii="Times New Roman" w:hAnsi="Times New Roman" w:cs="Times New Roman"/>
        </w:rPr>
        <w:t xml:space="preserve">0M+ machines at home. Given the difficulty </w:t>
      </w:r>
      <w:r w:rsidR="00EE4E6D">
        <w:rPr>
          <w:rFonts w:ascii="Times New Roman" w:hAnsi="Times New Roman" w:cs="Times New Roman"/>
        </w:rPr>
        <w:t xml:space="preserve">estimating the size of the away from home consumption market, and the lack of attention it gets from management and investors, it </w:t>
      </w:r>
      <w:r w:rsidR="00103974">
        <w:rPr>
          <w:rFonts w:ascii="Times New Roman" w:hAnsi="Times New Roman" w:cs="Times New Roman"/>
        </w:rPr>
        <w:t>is</w:t>
      </w:r>
      <w:r w:rsidR="00EE4E6D">
        <w:rPr>
          <w:rFonts w:ascii="Times New Roman" w:hAnsi="Times New Roman" w:cs="Times New Roman"/>
        </w:rPr>
        <w:t xml:space="preserve"> abstracted away. This may be a large blind spot in this analysis particularly as return-to-office trends may accelerate. </w:t>
      </w:r>
      <w:r w:rsidR="00682FA5">
        <w:rPr>
          <w:rFonts w:ascii="Times New Roman" w:hAnsi="Times New Roman" w:cs="Times New Roman"/>
        </w:rPr>
        <w:t xml:space="preserve">The excel has many sources linked for reference. </w:t>
      </w:r>
    </w:p>
    <w:p w14:paraId="65A157E3" w14:textId="59CC4EAB" w:rsidR="00223CA5" w:rsidRPr="00AE2B9B" w:rsidRDefault="00223CA5" w:rsidP="00265092">
      <w:pPr>
        <w:spacing w:after="0"/>
        <w:jc w:val="both"/>
        <w:rPr>
          <w:rFonts w:ascii="Times New Roman" w:hAnsi="Times New Roman" w:cs="Times New Roman"/>
          <w:b/>
          <w:bCs/>
        </w:rPr>
      </w:pPr>
      <w:r w:rsidRPr="00AE2B9B">
        <w:rPr>
          <w:rFonts w:ascii="Times New Roman" w:hAnsi="Times New Roman" w:cs="Times New Roman"/>
          <w:b/>
          <w:bCs/>
        </w:rPr>
        <w:t xml:space="preserve">Keurig Machines: </w:t>
      </w:r>
    </w:p>
    <w:p w14:paraId="33DE53E0" w14:textId="78E61C6C" w:rsidR="00223CA5" w:rsidRPr="00381631" w:rsidRDefault="00223CA5" w:rsidP="00AE2B9B">
      <w:pPr>
        <w:ind w:firstLine="720"/>
        <w:jc w:val="both"/>
        <w:rPr>
          <w:rFonts w:ascii="Times New Roman" w:hAnsi="Times New Roman" w:cs="Times New Roman"/>
        </w:rPr>
      </w:pPr>
      <w:r w:rsidRPr="00AE2B9B">
        <w:rPr>
          <w:rFonts w:ascii="Times New Roman" w:hAnsi="Times New Roman" w:cs="Times New Roman"/>
          <w:b/>
          <w:bCs/>
        </w:rPr>
        <w:t>Top</w:t>
      </w:r>
      <w:r w:rsidR="002E5F69">
        <w:rPr>
          <w:rFonts w:ascii="Times New Roman" w:hAnsi="Times New Roman" w:cs="Times New Roman"/>
          <w:b/>
          <w:bCs/>
        </w:rPr>
        <w:t>-</w:t>
      </w:r>
      <w:r w:rsidRPr="00AE2B9B">
        <w:rPr>
          <w:rFonts w:ascii="Times New Roman" w:hAnsi="Times New Roman" w:cs="Times New Roman"/>
          <w:b/>
          <w:bCs/>
        </w:rPr>
        <w:t>Down:</w:t>
      </w:r>
      <w:r w:rsidRPr="00381631">
        <w:rPr>
          <w:rFonts w:ascii="Times New Roman" w:hAnsi="Times New Roman" w:cs="Times New Roman"/>
        </w:rPr>
        <w:t xml:space="preserve"> </w:t>
      </w:r>
      <w:r w:rsidR="00451729">
        <w:rPr>
          <w:rFonts w:ascii="Times New Roman" w:hAnsi="Times New Roman" w:cs="Times New Roman"/>
        </w:rPr>
        <w:t xml:space="preserve">Analysis begins by breaking US HHs, (the sole assumed </w:t>
      </w:r>
      <w:r w:rsidR="009B7945">
        <w:rPr>
          <w:rFonts w:ascii="Times New Roman" w:hAnsi="Times New Roman" w:cs="Times New Roman"/>
        </w:rPr>
        <w:t>purchaser</w:t>
      </w:r>
      <w:r w:rsidR="00451729">
        <w:rPr>
          <w:rFonts w:ascii="Times New Roman" w:hAnsi="Times New Roman" w:cs="Times New Roman"/>
        </w:rPr>
        <w:t xml:space="preserve"> of machines) </w:t>
      </w:r>
      <w:r w:rsidR="00477874">
        <w:rPr>
          <w:rFonts w:ascii="Times New Roman" w:hAnsi="Times New Roman" w:cs="Times New Roman"/>
        </w:rPr>
        <w:t>into HHs with or without machines. We then assume that no existing HHs that currently do</w:t>
      </w:r>
      <w:r w:rsidR="00103974">
        <w:rPr>
          <w:rFonts w:ascii="Times New Roman" w:hAnsi="Times New Roman" w:cs="Times New Roman"/>
        </w:rPr>
        <w:t xml:space="preserve"> not</w:t>
      </w:r>
      <w:r w:rsidR="00477874">
        <w:rPr>
          <w:rFonts w:ascii="Times New Roman" w:hAnsi="Times New Roman" w:cs="Times New Roman"/>
        </w:rPr>
        <w:t xml:space="preserve"> have a machine would add a </w:t>
      </w:r>
      <w:r w:rsidR="009B7945">
        <w:rPr>
          <w:rFonts w:ascii="Times New Roman" w:hAnsi="Times New Roman" w:cs="Times New Roman"/>
        </w:rPr>
        <w:t>machine</w:t>
      </w:r>
      <w:r w:rsidR="00477874">
        <w:rPr>
          <w:rFonts w:ascii="Times New Roman" w:hAnsi="Times New Roman" w:cs="Times New Roman"/>
        </w:rPr>
        <w:t>, given that the market is very mature</w:t>
      </w:r>
      <w:r w:rsidR="00103974">
        <w:rPr>
          <w:rFonts w:ascii="Times New Roman" w:hAnsi="Times New Roman" w:cs="Times New Roman"/>
        </w:rPr>
        <w:t>, supported by -5.2% unit volume decline YoY in the last quarter</w:t>
      </w:r>
      <w:r w:rsidR="00477874">
        <w:rPr>
          <w:rFonts w:ascii="Times New Roman" w:hAnsi="Times New Roman" w:cs="Times New Roman"/>
        </w:rPr>
        <w:t xml:space="preserve">. We then estimate a replacement rate for coffee machines and sensitize. From there, we have the demand from existing HHs. We estimate using new US HHs with an uptake rate of roughly </w:t>
      </w:r>
      <w:r w:rsidR="00CC3AAA">
        <w:rPr>
          <w:rFonts w:ascii="Times New Roman" w:hAnsi="Times New Roman" w:cs="Times New Roman"/>
        </w:rPr>
        <w:t>equivalent (~80%). This gives us the annual number of machines purchased by HHs</w:t>
      </w:r>
      <w:r w:rsidR="00413078">
        <w:rPr>
          <w:rFonts w:ascii="Times New Roman" w:hAnsi="Times New Roman" w:cs="Times New Roman"/>
        </w:rPr>
        <w:t xml:space="preserve"> as </w:t>
      </w:r>
      <w:r w:rsidR="00AC46ED">
        <w:rPr>
          <w:rFonts w:ascii="Times New Roman" w:hAnsi="Times New Roman" w:cs="Times New Roman"/>
        </w:rPr>
        <w:t>~</w:t>
      </w:r>
      <w:r w:rsidR="00780D83">
        <w:rPr>
          <w:rFonts w:ascii="Times New Roman" w:hAnsi="Times New Roman" w:cs="Times New Roman"/>
        </w:rPr>
        <w:t>27.2M</w:t>
      </w:r>
      <w:r w:rsidR="00CC3AAA">
        <w:rPr>
          <w:rFonts w:ascii="Times New Roman" w:hAnsi="Times New Roman" w:cs="Times New Roman"/>
        </w:rPr>
        <w:t>. We then assume that Keurig holds a constant market share of at home machines (as presented in their 2021 Investor Day Presentation</w:t>
      </w:r>
      <w:r w:rsidR="00780D83">
        <w:rPr>
          <w:rFonts w:ascii="Times New Roman" w:hAnsi="Times New Roman" w:cs="Times New Roman"/>
        </w:rPr>
        <w:t>, ’21 IDP</w:t>
      </w:r>
      <w:r w:rsidR="00CC3AAA">
        <w:rPr>
          <w:rFonts w:ascii="Times New Roman" w:hAnsi="Times New Roman" w:cs="Times New Roman"/>
        </w:rPr>
        <w:t xml:space="preserve">), apply an average cost of the machine, a retailer margin, and arrive at a </w:t>
      </w:r>
      <w:r w:rsidR="009B7945">
        <w:rPr>
          <w:rFonts w:ascii="Times New Roman" w:hAnsi="Times New Roman" w:cs="Times New Roman"/>
        </w:rPr>
        <w:t>market</w:t>
      </w:r>
      <w:r w:rsidR="00CC3AAA">
        <w:rPr>
          <w:rFonts w:ascii="Times New Roman" w:hAnsi="Times New Roman" w:cs="Times New Roman"/>
        </w:rPr>
        <w:t xml:space="preserve"> of </w:t>
      </w:r>
      <w:r w:rsidR="00586FE5">
        <w:rPr>
          <w:rFonts w:ascii="Times New Roman" w:hAnsi="Times New Roman" w:cs="Times New Roman"/>
        </w:rPr>
        <w:t>~</w:t>
      </w:r>
      <w:r w:rsidR="00CC3AAA">
        <w:rPr>
          <w:rFonts w:ascii="Times New Roman" w:hAnsi="Times New Roman" w:cs="Times New Roman"/>
        </w:rPr>
        <w:t xml:space="preserve">1,165M. In the most recent FY, KDP was at 79% of this estimated TAM – implying limited upside and room to grow. </w:t>
      </w:r>
      <w:hyperlink w:anchor="fig1" w:history="1">
        <w:r w:rsidR="00C92724" w:rsidRPr="009968CE">
          <w:rPr>
            <w:rStyle w:val="Hyperlink"/>
            <w:rFonts w:ascii="Times New Roman" w:hAnsi="Times New Roman" w:cs="Times New Roman"/>
          </w:rPr>
          <w:t>Figure 1</w:t>
        </w:r>
      </w:hyperlink>
      <w:r w:rsidR="00C92724">
        <w:rPr>
          <w:rFonts w:ascii="Times New Roman" w:hAnsi="Times New Roman" w:cs="Times New Roman"/>
        </w:rPr>
        <w:t xml:space="preserve"> implies that the appliance market is mature as revenue is roughly constant YoY</w:t>
      </w:r>
      <w:r w:rsidR="009A3C28">
        <w:rPr>
          <w:rFonts w:ascii="Times New Roman" w:hAnsi="Times New Roman" w:cs="Times New Roman"/>
        </w:rPr>
        <w:t xml:space="preserve"> in dollars and as a percentage of total coffee revenue. </w:t>
      </w:r>
    </w:p>
    <w:p w14:paraId="0445523B" w14:textId="49A7FFB6" w:rsidR="00223CA5" w:rsidRPr="00381631" w:rsidRDefault="00223CA5" w:rsidP="00AE2B9B">
      <w:pPr>
        <w:ind w:firstLine="720"/>
        <w:jc w:val="both"/>
        <w:rPr>
          <w:rFonts w:ascii="Times New Roman" w:hAnsi="Times New Roman" w:cs="Times New Roman"/>
        </w:rPr>
      </w:pPr>
      <w:r w:rsidRPr="00AE2B9B">
        <w:rPr>
          <w:rFonts w:ascii="Times New Roman" w:hAnsi="Times New Roman" w:cs="Times New Roman"/>
          <w:b/>
          <w:bCs/>
        </w:rPr>
        <w:t>Bottom</w:t>
      </w:r>
      <w:r w:rsidR="009A3C28" w:rsidRPr="00AE2B9B">
        <w:rPr>
          <w:rFonts w:ascii="Times New Roman" w:hAnsi="Times New Roman" w:cs="Times New Roman"/>
          <w:b/>
          <w:bCs/>
        </w:rPr>
        <w:t>s</w:t>
      </w:r>
      <w:r w:rsidR="002E5F69">
        <w:rPr>
          <w:rFonts w:ascii="Times New Roman" w:hAnsi="Times New Roman" w:cs="Times New Roman"/>
          <w:b/>
          <w:bCs/>
        </w:rPr>
        <w:t>-</w:t>
      </w:r>
      <w:r w:rsidRPr="00AE2B9B">
        <w:rPr>
          <w:rFonts w:ascii="Times New Roman" w:hAnsi="Times New Roman" w:cs="Times New Roman"/>
          <w:b/>
          <w:bCs/>
        </w:rPr>
        <w:t>Up:</w:t>
      </w:r>
      <w:r w:rsidR="002A6250">
        <w:rPr>
          <w:rFonts w:ascii="Times New Roman" w:hAnsi="Times New Roman" w:cs="Times New Roman"/>
        </w:rPr>
        <w:t xml:space="preserve"> Analysis begins with the total number of US HH drinking coffee weekly at home split into Keurig Owners and non-Keurig owners</w:t>
      </w:r>
      <w:r w:rsidR="00E747CB">
        <w:rPr>
          <w:rFonts w:ascii="Times New Roman" w:hAnsi="Times New Roman" w:cs="Times New Roman"/>
        </w:rPr>
        <w:t>, - as presented in</w:t>
      </w:r>
      <w:r w:rsidR="002E5F69">
        <w:rPr>
          <w:rFonts w:ascii="Times New Roman" w:hAnsi="Times New Roman" w:cs="Times New Roman"/>
        </w:rPr>
        <w:t xml:space="preserve"> ’21 IDP</w:t>
      </w:r>
      <w:r w:rsidR="00E747CB">
        <w:rPr>
          <w:rFonts w:ascii="Times New Roman" w:hAnsi="Times New Roman" w:cs="Times New Roman"/>
        </w:rPr>
        <w:t>. We then assume a replacement rate for current owners</w:t>
      </w:r>
      <w:r w:rsidR="00CE7D0D">
        <w:rPr>
          <w:rFonts w:ascii="Times New Roman" w:hAnsi="Times New Roman" w:cs="Times New Roman"/>
        </w:rPr>
        <w:t xml:space="preserve"> and</w:t>
      </w:r>
      <w:r w:rsidR="00E747CB">
        <w:rPr>
          <w:rFonts w:ascii="Times New Roman" w:hAnsi="Times New Roman" w:cs="Times New Roman"/>
        </w:rPr>
        <w:t xml:space="preserve"> a conversion rate for </w:t>
      </w:r>
      <w:r w:rsidR="002E5F69">
        <w:rPr>
          <w:rFonts w:ascii="Times New Roman" w:hAnsi="Times New Roman" w:cs="Times New Roman"/>
        </w:rPr>
        <w:t>non-Keurig</w:t>
      </w:r>
      <w:r w:rsidR="00E747CB">
        <w:rPr>
          <w:rFonts w:ascii="Times New Roman" w:hAnsi="Times New Roman" w:cs="Times New Roman"/>
        </w:rPr>
        <w:t xml:space="preserve"> owners</w:t>
      </w:r>
      <w:r w:rsidR="00CE7D0D">
        <w:rPr>
          <w:rFonts w:ascii="Times New Roman" w:hAnsi="Times New Roman" w:cs="Times New Roman"/>
        </w:rPr>
        <w:t xml:space="preserve">. NB: this assumes the same replacement rate for Keurig </w:t>
      </w:r>
      <w:r w:rsidR="00F85F5E">
        <w:rPr>
          <w:rFonts w:ascii="Times New Roman" w:hAnsi="Times New Roman" w:cs="Times New Roman"/>
        </w:rPr>
        <w:t xml:space="preserve">machines and </w:t>
      </w:r>
      <w:r w:rsidR="002E5F69">
        <w:rPr>
          <w:rFonts w:ascii="Times New Roman" w:hAnsi="Times New Roman" w:cs="Times New Roman"/>
        </w:rPr>
        <w:t>non-Keurig</w:t>
      </w:r>
      <w:r w:rsidR="00F85F5E">
        <w:rPr>
          <w:rFonts w:ascii="Times New Roman" w:hAnsi="Times New Roman" w:cs="Times New Roman"/>
        </w:rPr>
        <w:t xml:space="preserve"> machines (an assumption which may be further explored). We let the </w:t>
      </w:r>
      <w:r w:rsidR="00AE2B9B">
        <w:rPr>
          <w:rFonts w:ascii="Times New Roman" w:hAnsi="Times New Roman" w:cs="Times New Roman"/>
        </w:rPr>
        <w:t>conversion</w:t>
      </w:r>
      <w:r w:rsidR="00F85F5E">
        <w:rPr>
          <w:rFonts w:ascii="Times New Roman" w:hAnsi="Times New Roman" w:cs="Times New Roman"/>
        </w:rPr>
        <w:t xml:space="preserve"> ra</w:t>
      </w:r>
      <w:r w:rsidR="00C04D3C">
        <w:rPr>
          <w:rFonts w:ascii="Times New Roman" w:hAnsi="Times New Roman" w:cs="Times New Roman"/>
        </w:rPr>
        <w:t xml:space="preserve">te from </w:t>
      </w:r>
      <w:r w:rsidR="002E5F69">
        <w:rPr>
          <w:rFonts w:ascii="Times New Roman" w:hAnsi="Times New Roman" w:cs="Times New Roman"/>
        </w:rPr>
        <w:t>non-Keurig</w:t>
      </w:r>
      <w:r w:rsidR="00C04D3C">
        <w:rPr>
          <w:rFonts w:ascii="Times New Roman" w:hAnsi="Times New Roman" w:cs="Times New Roman"/>
        </w:rPr>
        <w:t xml:space="preserve"> machine owners </w:t>
      </w:r>
      <w:r w:rsidR="005E0324">
        <w:rPr>
          <w:rFonts w:ascii="Times New Roman" w:hAnsi="Times New Roman" w:cs="Times New Roman"/>
        </w:rPr>
        <w:t xml:space="preserve">be </w:t>
      </w:r>
      <w:r w:rsidR="002E5F69">
        <w:rPr>
          <w:rFonts w:ascii="Times New Roman" w:hAnsi="Times New Roman" w:cs="Times New Roman"/>
        </w:rPr>
        <w:t>zero</w:t>
      </w:r>
      <w:r w:rsidR="005E0324">
        <w:rPr>
          <w:rFonts w:ascii="Times New Roman" w:hAnsi="Times New Roman" w:cs="Times New Roman"/>
        </w:rPr>
        <w:t xml:space="preserve"> given that brewer volume was down 5.2% annually in their Feb 2023 10k. I interpret this to mean that </w:t>
      </w:r>
      <w:r w:rsidR="00BD65B4">
        <w:rPr>
          <w:rFonts w:ascii="Times New Roman" w:hAnsi="Times New Roman" w:cs="Times New Roman"/>
        </w:rPr>
        <w:t>they have fallen below replacement (</w:t>
      </w:r>
      <w:proofErr w:type="gramStart"/>
      <w:r w:rsidR="00761A73">
        <w:rPr>
          <w:rFonts w:ascii="Times New Roman" w:hAnsi="Times New Roman" w:cs="Times New Roman"/>
        </w:rPr>
        <w:t>i.e.</w:t>
      </w:r>
      <w:proofErr w:type="gramEnd"/>
      <w:r w:rsidR="00BD65B4">
        <w:rPr>
          <w:rFonts w:ascii="Times New Roman" w:hAnsi="Times New Roman" w:cs="Times New Roman"/>
        </w:rPr>
        <w:t xml:space="preserve"> when people’s </w:t>
      </w:r>
      <w:r w:rsidR="00AE2B9B">
        <w:rPr>
          <w:rFonts w:ascii="Times New Roman" w:hAnsi="Times New Roman" w:cs="Times New Roman"/>
        </w:rPr>
        <w:t>Keurigs</w:t>
      </w:r>
      <w:r w:rsidR="00BD65B4">
        <w:rPr>
          <w:rFonts w:ascii="Times New Roman" w:hAnsi="Times New Roman" w:cs="Times New Roman"/>
        </w:rPr>
        <w:t xml:space="preserve"> become dysfunctional they do not replace them 100% of them time). </w:t>
      </w:r>
      <w:r w:rsidR="007B4B41">
        <w:rPr>
          <w:rFonts w:ascii="Times New Roman" w:hAnsi="Times New Roman" w:cs="Times New Roman"/>
        </w:rPr>
        <w:t xml:space="preserve">This analysis excludes consideration of the 2 MM or so new HHs added to the US every year (given immateriality and risk of becoming too </w:t>
      </w:r>
      <w:proofErr w:type="gramStart"/>
      <w:r w:rsidR="007B4B41">
        <w:rPr>
          <w:rFonts w:ascii="Times New Roman" w:hAnsi="Times New Roman" w:cs="Times New Roman"/>
        </w:rPr>
        <w:t>similar to</w:t>
      </w:r>
      <w:proofErr w:type="gramEnd"/>
      <w:r w:rsidR="007B4B41">
        <w:rPr>
          <w:rFonts w:ascii="Times New Roman" w:hAnsi="Times New Roman" w:cs="Times New Roman"/>
        </w:rPr>
        <w:t xml:space="preserve"> </w:t>
      </w:r>
      <w:r w:rsidR="002E5F69">
        <w:rPr>
          <w:rFonts w:ascii="Times New Roman" w:hAnsi="Times New Roman" w:cs="Times New Roman"/>
        </w:rPr>
        <w:t>Top-Down</w:t>
      </w:r>
      <w:r w:rsidR="007B4B41">
        <w:rPr>
          <w:rFonts w:ascii="Times New Roman" w:hAnsi="Times New Roman" w:cs="Times New Roman"/>
        </w:rPr>
        <w:t xml:space="preserve"> approach). Finally, we apply an average cost of a machine and a retailer margin to arrive at a TAM of 945M. </w:t>
      </w:r>
      <w:r w:rsidR="00466208">
        <w:rPr>
          <w:rFonts w:ascii="Times New Roman" w:hAnsi="Times New Roman" w:cs="Times New Roman"/>
        </w:rPr>
        <w:t xml:space="preserve">KDP was at 98% of this TAM last quarter, implying that (1) the TAM may be too low, and/or (2) the market is very mature. </w:t>
      </w:r>
    </w:p>
    <w:p w14:paraId="2BDE2DDB" w14:textId="1060DEDA" w:rsidR="00223CA5" w:rsidRPr="00807C0A" w:rsidRDefault="00223CA5" w:rsidP="00265092">
      <w:pPr>
        <w:spacing w:after="0"/>
        <w:jc w:val="both"/>
        <w:rPr>
          <w:rFonts w:ascii="Times New Roman" w:hAnsi="Times New Roman" w:cs="Times New Roman"/>
          <w:b/>
          <w:bCs/>
        </w:rPr>
      </w:pPr>
      <w:r w:rsidRPr="00807C0A">
        <w:rPr>
          <w:rFonts w:ascii="Times New Roman" w:hAnsi="Times New Roman" w:cs="Times New Roman"/>
          <w:b/>
          <w:bCs/>
        </w:rPr>
        <w:t xml:space="preserve">Keurig Pods: </w:t>
      </w:r>
    </w:p>
    <w:p w14:paraId="6F520904" w14:textId="77FFA7AF" w:rsidR="00223CA5" w:rsidRPr="00381631" w:rsidRDefault="00223CA5" w:rsidP="00AE2B9B">
      <w:pPr>
        <w:ind w:firstLine="720"/>
        <w:jc w:val="both"/>
        <w:rPr>
          <w:rFonts w:ascii="Times New Roman" w:hAnsi="Times New Roman" w:cs="Times New Roman"/>
        </w:rPr>
      </w:pPr>
      <w:r w:rsidRPr="00FA63DE">
        <w:rPr>
          <w:rFonts w:ascii="Times New Roman" w:hAnsi="Times New Roman" w:cs="Times New Roman"/>
          <w:b/>
          <w:bCs/>
        </w:rPr>
        <w:t>Top</w:t>
      </w:r>
      <w:r w:rsidR="002E5F69">
        <w:rPr>
          <w:rFonts w:ascii="Times New Roman" w:hAnsi="Times New Roman" w:cs="Times New Roman"/>
          <w:b/>
          <w:bCs/>
        </w:rPr>
        <w:t>-</w:t>
      </w:r>
      <w:r w:rsidRPr="00FA63DE">
        <w:rPr>
          <w:rFonts w:ascii="Times New Roman" w:hAnsi="Times New Roman" w:cs="Times New Roman"/>
          <w:b/>
          <w:bCs/>
        </w:rPr>
        <w:t>Down:</w:t>
      </w:r>
      <w:r w:rsidRPr="00381631">
        <w:rPr>
          <w:rFonts w:ascii="Times New Roman" w:hAnsi="Times New Roman" w:cs="Times New Roman"/>
        </w:rPr>
        <w:t xml:space="preserve"> </w:t>
      </w:r>
      <w:r w:rsidR="007C1909">
        <w:rPr>
          <w:rFonts w:ascii="Times New Roman" w:hAnsi="Times New Roman" w:cs="Times New Roman"/>
        </w:rPr>
        <w:t xml:space="preserve">Analysis begins with </w:t>
      </w:r>
      <w:r w:rsidR="002E5F69">
        <w:rPr>
          <w:rFonts w:ascii="Times New Roman" w:hAnsi="Times New Roman" w:cs="Times New Roman"/>
        </w:rPr>
        <w:t>t</w:t>
      </w:r>
      <w:r w:rsidR="007C1909">
        <w:rPr>
          <w:rFonts w:ascii="Times New Roman" w:hAnsi="Times New Roman" w:cs="Times New Roman"/>
        </w:rPr>
        <w:t xml:space="preserve">he total US population, assumes that no children drink coffee, and that 70% of </w:t>
      </w:r>
      <w:r w:rsidR="00682FA5">
        <w:rPr>
          <w:rFonts w:ascii="Times New Roman" w:hAnsi="Times New Roman" w:cs="Times New Roman"/>
        </w:rPr>
        <w:t xml:space="preserve">the adult population are coffee drinkers (see Excel for citation). </w:t>
      </w:r>
      <w:r w:rsidR="00265092">
        <w:rPr>
          <w:rFonts w:ascii="Times New Roman" w:hAnsi="Times New Roman" w:cs="Times New Roman"/>
        </w:rPr>
        <w:t xml:space="preserve">We do not attempt to differentiate coffee consumption profiles by age and demographics although the NIH study does. </w:t>
      </w:r>
      <w:r w:rsidR="00CE244F">
        <w:rPr>
          <w:rFonts w:ascii="Times New Roman" w:hAnsi="Times New Roman" w:cs="Times New Roman"/>
        </w:rPr>
        <w:t xml:space="preserve">This implies </w:t>
      </w:r>
      <w:r w:rsidR="00C26099">
        <w:rPr>
          <w:rFonts w:ascii="Times New Roman" w:hAnsi="Times New Roman" w:cs="Times New Roman"/>
        </w:rPr>
        <w:t>~</w:t>
      </w:r>
      <w:r w:rsidR="00CE244F">
        <w:rPr>
          <w:rFonts w:ascii="Times New Roman" w:hAnsi="Times New Roman" w:cs="Times New Roman"/>
        </w:rPr>
        <w:t xml:space="preserve">178M US coffee </w:t>
      </w:r>
      <w:r w:rsidR="00FA63DE">
        <w:rPr>
          <w:rFonts w:ascii="Times New Roman" w:hAnsi="Times New Roman" w:cs="Times New Roman"/>
        </w:rPr>
        <w:t>drinkers</w:t>
      </w:r>
      <w:r w:rsidR="00CE244F">
        <w:rPr>
          <w:rFonts w:ascii="Times New Roman" w:hAnsi="Times New Roman" w:cs="Times New Roman"/>
        </w:rPr>
        <w:t xml:space="preserve">. Then, we assume that 88% of them drink coffee at home (from the </w:t>
      </w:r>
      <w:r w:rsidR="00FA63DE">
        <w:rPr>
          <w:rFonts w:ascii="Times New Roman" w:hAnsi="Times New Roman" w:cs="Times New Roman"/>
        </w:rPr>
        <w:t>Keurig</w:t>
      </w:r>
      <w:r w:rsidR="00CE244F">
        <w:rPr>
          <w:rFonts w:ascii="Times New Roman" w:hAnsi="Times New Roman" w:cs="Times New Roman"/>
        </w:rPr>
        <w:t xml:space="preserve"> </w:t>
      </w:r>
      <w:r w:rsidR="00C26099">
        <w:rPr>
          <w:rFonts w:ascii="Times New Roman" w:hAnsi="Times New Roman" w:cs="Times New Roman"/>
        </w:rPr>
        <w:t>‘</w:t>
      </w:r>
      <w:r w:rsidR="00CE244F">
        <w:rPr>
          <w:rFonts w:ascii="Times New Roman" w:hAnsi="Times New Roman" w:cs="Times New Roman"/>
        </w:rPr>
        <w:t xml:space="preserve">21 </w:t>
      </w:r>
      <w:r w:rsidR="00C26099">
        <w:rPr>
          <w:rFonts w:ascii="Times New Roman" w:hAnsi="Times New Roman" w:cs="Times New Roman"/>
        </w:rPr>
        <w:t>IDP</w:t>
      </w:r>
      <w:r w:rsidR="00CE244F">
        <w:rPr>
          <w:rFonts w:ascii="Times New Roman" w:hAnsi="Times New Roman" w:cs="Times New Roman"/>
        </w:rPr>
        <w:t xml:space="preserve">, this number feels too high to me, and is likely worth further </w:t>
      </w:r>
      <w:r w:rsidR="00FA63DE">
        <w:rPr>
          <w:rFonts w:ascii="Times New Roman" w:hAnsi="Times New Roman" w:cs="Times New Roman"/>
        </w:rPr>
        <w:t>exploration</w:t>
      </w:r>
      <w:r w:rsidR="00CE244F">
        <w:rPr>
          <w:rFonts w:ascii="Times New Roman" w:hAnsi="Times New Roman" w:cs="Times New Roman"/>
        </w:rPr>
        <w:t xml:space="preserve">). </w:t>
      </w:r>
      <w:r w:rsidR="00F76C84">
        <w:rPr>
          <w:rFonts w:ascii="Times New Roman" w:hAnsi="Times New Roman" w:cs="Times New Roman"/>
        </w:rPr>
        <w:t xml:space="preserve">We then assume that 33% of these people have a Keurig at home, from the Keurig </w:t>
      </w:r>
      <w:r w:rsidR="00C26099">
        <w:rPr>
          <w:rFonts w:ascii="Times New Roman" w:hAnsi="Times New Roman" w:cs="Times New Roman"/>
        </w:rPr>
        <w:t>‘</w:t>
      </w:r>
      <w:r w:rsidR="00F76C84">
        <w:rPr>
          <w:rFonts w:ascii="Times New Roman" w:hAnsi="Times New Roman" w:cs="Times New Roman"/>
        </w:rPr>
        <w:t xml:space="preserve">21 </w:t>
      </w:r>
      <w:r w:rsidR="00C26099">
        <w:rPr>
          <w:rFonts w:ascii="Times New Roman" w:hAnsi="Times New Roman" w:cs="Times New Roman"/>
        </w:rPr>
        <w:t>IDP</w:t>
      </w:r>
      <w:r w:rsidR="00F76C84">
        <w:rPr>
          <w:rFonts w:ascii="Times New Roman" w:hAnsi="Times New Roman" w:cs="Times New Roman"/>
        </w:rPr>
        <w:t>, and</w:t>
      </w:r>
      <w:r w:rsidR="00F76C84" w:rsidRPr="00C26099">
        <w:rPr>
          <w:rFonts w:ascii="Times New Roman" w:hAnsi="Times New Roman" w:cs="Times New Roman"/>
          <w:i/>
          <w:iCs/>
        </w:rPr>
        <w:t xml:space="preserve"> that </w:t>
      </w:r>
      <w:r w:rsidR="00C26099" w:rsidRPr="00C26099">
        <w:rPr>
          <w:rFonts w:ascii="Times New Roman" w:hAnsi="Times New Roman" w:cs="Times New Roman"/>
          <w:i/>
          <w:iCs/>
        </w:rPr>
        <w:t>~</w:t>
      </w:r>
      <w:r w:rsidR="00F76C84" w:rsidRPr="00C26099">
        <w:rPr>
          <w:rFonts w:ascii="Times New Roman" w:hAnsi="Times New Roman" w:cs="Times New Roman"/>
          <w:i/>
          <w:iCs/>
        </w:rPr>
        <w:t xml:space="preserve">45% of these people are using that Keurig in lieu of a different coffee maker. This is a very important assumption which has little justification and needs more research. </w:t>
      </w:r>
      <w:r w:rsidR="00AF3FDA">
        <w:rPr>
          <w:rFonts w:ascii="Times New Roman" w:hAnsi="Times New Roman" w:cs="Times New Roman"/>
        </w:rPr>
        <w:t xml:space="preserve">The NIH has a rather robust study which says that of coffee drinking adults, they on average, drink 1.9 cups / day (roughly in the ballpark of other reports as well), and in all, this implies a total market of </w:t>
      </w:r>
      <w:r w:rsidR="00B016F8">
        <w:rPr>
          <w:rFonts w:ascii="Times New Roman" w:hAnsi="Times New Roman" w:cs="Times New Roman"/>
        </w:rPr>
        <w:t xml:space="preserve">~44M cups drank total, a day, at home, with Keurig. We then let revenue per pod be $0.60 (from the Bernstein report, and AMZN, WMT, and Costco websites), apply a retailer </w:t>
      </w:r>
      <w:r w:rsidR="00B016F8">
        <w:rPr>
          <w:rFonts w:ascii="Times New Roman" w:hAnsi="Times New Roman" w:cs="Times New Roman"/>
        </w:rPr>
        <w:lastRenderedPageBreak/>
        <w:t xml:space="preserve">margin of 50%, and </w:t>
      </w:r>
      <w:r w:rsidR="002E5F69">
        <w:rPr>
          <w:rFonts w:ascii="Times New Roman" w:hAnsi="Times New Roman" w:cs="Times New Roman"/>
        </w:rPr>
        <w:t>get</w:t>
      </w:r>
      <w:r w:rsidR="00B016F8">
        <w:rPr>
          <w:rFonts w:ascii="Times New Roman" w:hAnsi="Times New Roman" w:cs="Times New Roman"/>
        </w:rPr>
        <w:t xml:space="preserve"> a total TAM of 4,7</w:t>
      </w:r>
      <w:r w:rsidR="00FA63DE">
        <w:rPr>
          <w:rFonts w:ascii="Times New Roman" w:hAnsi="Times New Roman" w:cs="Times New Roman"/>
        </w:rPr>
        <w:t>6</w:t>
      </w:r>
      <w:r w:rsidR="00DB49E9">
        <w:rPr>
          <w:rFonts w:ascii="Times New Roman" w:hAnsi="Times New Roman" w:cs="Times New Roman"/>
        </w:rPr>
        <w:t>9M</w:t>
      </w:r>
      <w:r w:rsidR="00FA63DE">
        <w:rPr>
          <w:rFonts w:ascii="Times New Roman" w:hAnsi="Times New Roman" w:cs="Times New Roman"/>
        </w:rPr>
        <w:t>. KDP is currently at 79% of this TAM. This analysis is highly sensitive to the number of cups drank per day assumption and the percentage of population who use their Keurig to make coffee rather than another machine. It is likely that KDP themselves has a quality estimate</w:t>
      </w:r>
      <w:r w:rsidR="006E2D45">
        <w:rPr>
          <w:rFonts w:ascii="Times New Roman" w:hAnsi="Times New Roman" w:cs="Times New Roman"/>
        </w:rPr>
        <w:t xml:space="preserve"> (</w:t>
      </w:r>
      <w:r w:rsidR="00FA63DE">
        <w:rPr>
          <w:rFonts w:ascii="Times New Roman" w:hAnsi="Times New Roman" w:cs="Times New Roman"/>
        </w:rPr>
        <w:t xml:space="preserve">given that their machines are </w:t>
      </w:r>
      <w:r w:rsidR="006E2D45">
        <w:rPr>
          <w:rFonts w:ascii="Times New Roman" w:hAnsi="Times New Roman" w:cs="Times New Roman"/>
        </w:rPr>
        <w:t>Wi-Fi</w:t>
      </w:r>
      <w:r w:rsidR="00FA63DE">
        <w:rPr>
          <w:rFonts w:ascii="Times New Roman" w:hAnsi="Times New Roman" w:cs="Times New Roman"/>
        </w:rPr>
        <w:t xml:space="preserve"> enabled, and the number of cups per day in the NIH study is measured with a high degree of accuracy</w:t>
      </w:r>
      <w:r w:rsidR="006E2D45">
        <w:rPr>
          <w:rFonts w:ascii="Times New Roman" w:hAnsi="Times New Roman" w:cs="Times New Roman"/>
        </w:rPr>
        <w:t>)</w:t>
      </w:r>
      <w:r w:rsidR="00FA63DE">
        <w:rPr>
          <w:rFonts w:ascii="Times New Roman" w:hAnsi="Times New Roman" w:cs="Times New Roman"/>
        </w:rPr>
        <w:t xml:space="preserve"> of the percentage of people using their machines versus other machines. However, I have not been able to find this information.</w:t>
      </w:r>
    </w:p>
    <w:p w14:paraId="53A58CE9" w14:textId="3EC86EC9" w:rsidR="00223CA5" w:rsidRPr="00381631" w:rsidRDefault="00223CA5" w:rsidP="00FA63DE">
      <w:pPr>
        <w:ind w:firstLine="720"/>
        <w:jc w:val="both"/>
        <w:rPr>
          <w:rFonts w:ascii="Times New Roman" w:hAnsi="Times New Roman" w:cs="Times New Roman"/>
        </w:rPr>
      </w:pPr>
      <w:r w:rsidRPr="00807C0A">
        <w:rPr>
          <w:rFonts w:ascii="Times New Roman" w:hAnsi="Times New Roman" w:cs="Times New Roman"/>
          <w:b/>
          <w:bCs/>
        </w:rPr>
        <w:t>Bottom</w:t>
      </w:r>
      <w:r w:rsidR="00AC6CF9" w:rsidRPr="00807C0A">
        <w:rPr>
          <w:rFonts w:ascii="Times New Roman" w:hAnsi="Times New Roman" w:cs="Times New Roman"/>
          <w:b/>
          <w:bCs/>
        </w:rPr>
        <w:t>s</w:t>
      </w:r>
      <w:r w:rsidR="002E5F69">
        <w:rPr>
          <w:rFonts w:ascii="Times New Roman" w:hAnsi="Times New Roman" w:cs="Times New Roman"/>
          <w:b/>
          <w:bCs/>
        </w:rPr>
        <w:t>-</w:t>
      </w:r>
      <w:r w:rsidRPr="00807C0A">
        <w:rPr>
          <w:rFonts w:ascii="Times New Roman" w:hAnsi="Times New Roman" w:cs="Times New Roman"/>
          <w:b/>
          <w:bCs/>
        </w:rPr>
        <w:t>Up:</w:t>
      </w:r>
      <w:r w:rsidRPr="00381631">
        <w:rPr>
          <w:rFonts w:ascii="Times New Roman" w:hAnsi="Times New Roman" w:cs="Times New Roman"/>
        </w:rPr>
        <w:t xml:space="preserve"> </w:t>
      </w:r>
      <w:r w:rsidR="00AC6CF9">
        <w:rPr>
          <w:rFonts w:ascii="Times New Roman" w:hAnsi="Times New Roman" w:cs="Times New Roman"/>
        </w:rPr>
        <w:t xml:space="preserve">Analysis begins with the current number of machines that KDP says are in US HHs, 45M as of ’21 IDP (NB: we ignore hotels and offices, as discussed above). </w:t>
      </w:r>
      <w:r w:rsidR="00D02DD0">
        <w:rPr>
          <w:rFonts w:ascii="Times New Roman" w:hAnsi="Times New Roman" w:cs="Times New Roman"/>
        </w:rPr>
        <w:t xml:space="preserve">From there, we assume that </w:t>
      </w:r>
      <w:r w:rsidR="003142F4">
        <w:rPr>
          <w:rFonts w:ascii="Times New Roman" w:hAnsi="Times New Roman" w:cs="Times New Roman"/>
        </w:rPr>
        <w:t xml:space="preserve">neither </w:t>
      </w:r>
      <w:r w:rsidR="00D02DD0">
        <w:rPr>
          <w:rFonts w:ascii="Times New Roman" w:hAnsi="Times New Roman" w:cs="Times New Roman"/>
        </w:rPr>
        <w:t xml:space="preserve">0% of inactive users become active again nor that </w:t>
      </w:r>
      <w:r w:rsidR="003142F4">
        <w:rPr>
          <w:rFonts w:ascii="Times New Roman" w:hAnsi="Times New Roman" w:cs="Times New Roman"/>
        </w:rPr>
        <w:t xml:space="preserve">any </w:t>
      </w:r>
      <w:r w:rsidR="00244BA3">
        <w:rPr>
          <w:rFonts w:ascii="Times New Roman" w:hAnsi="Times New Roman" w:cs="Times New Roman"/>
        </w:rPr>
        <w:t>current</w:t>
      </w:r>
      <w:r w:rsidR="003142F4">
        <w:rPr>
          <w:rFonts w:ascii="Times New Roman" w:hAnsi="Times New Roman" w:cs="Times New Roman"/>
        </w:rPr>
        <w:t xml:space="preserve"> active users become inactive. This is a large assumption which is</w:t>
      </w:r>
      <w:r w:rsidR="00A92E19">
        <w:rPr>
          <w:rFonts w:ascii="Times New Roman" w:hAnsi="Times New Roman" w:cs="Times New Roman"/>
        </w:rPr>
        <w:t xml:space="preserve"> quite</w:t>
      </w:r>
      <w:r w:rsidR="003142F4">
        <w:rPr>
          <w:rFonts w:ascii="Times New Roman" w:hAnsi="Times New Roman" w:cs="Times New Roman"/>
        </w:rPr>
        <w:t xml:space="preserve"> unjustified – all I could find here was </w:t>
      </w:r>
      <w:r w:rsidR="00244BA3">
        <w:rPr>
          <w:rFonts w:ascii="Times New Roman" w:hAnsi="Times New Roman" w:cs="Times New Roman"/>
        </w:rPr>
        <w:t>anecdotal</w:t>
      </w:r>
      <w:r w:rsidR="003142F4">
        <w:rPr>
          <w:rFonts w:ascii="Times New Roman" w:hAnsi="Times New Roman" w:cs="Times New Roman"/>
        </w:rPr>
        <w:t xml:space="preserve"> evidence (</w:t>
      </w:r>
      <w:proofErr w:type="gramStart"/>
      <w:r w:rsidR="00A92E19">
        <w:rPr>
          <w:rFonts w:ascii="Times New Roman" w:hAnsi="Times New Roman" w:cs="Times New Roman"/>
        </w:rPr>
        <w:t>i.e.</w:t>
      </w:r>
      <w:proofErr w:type="gramEnd"/>
      <w:r w:rsidR="003142F4">
        <w:rPr>
          <w:rFonts w:ascii="Times New Roman" w:hAnsi="Times New Roman" w:cs="Times New Roman"/>
        </w:rPr>
        <w:t xml:space="preserve"> customer reviews, Reddit, blog posts, </w:t>
      </w:r>
      <w:r w:rsidR="00A92E19">
        <w:rPr>
          <w:rFonts w:ascii="Times New Roman" w:hAnsi="Times New Roman" w:cs="Times New Roman"/>
        </w:rPr>
        <w:t>etc.</w:t>
      </w:r>
      <w:r w:rsidR="003142F4">
        <w:rPr>
          <w:rFonts w:ascii="Times New Roman" w:hAnsi="Times New Roman" w:cs="Times New Roman"/>
        </w:rPr>
        <w:t xml:space="preserve">) and thought that extrapolating would be not useful. Next, we then assume </w:t>
      </w:r>
      <w:r w:rsidR="003751B3">
        <w:rPr>
          <w:rFonts w:ascii="Times New Roman" w:hAnsi="Times New Roman" w:cs="Times New Roman"/>
        </w:rPr>
        <w:t xml:space="preserve">that 80% of these HH are ordering weekly (data which KDP would </w:t>
      </w:r>
      <w:r w:rsidR="00625C07">
        <w:rPr>
          <w:rFonts w:ascii="Times New Roman" w:hAnsi="Times New Roman" w:cs="Times New Roman"/>
        </w:rPr>
        <w:t xml:space="preserve">likely </w:t>
      </w:r>
      <w:r w:rsidR="003751B3">
        <w:rPr>
          <w:rFonts w:ascii="Times New Roman" w:hAnsi="Times New Roman" w:cs="Times New Roman"/>
        </w:rPr>
        <w:t xml:space="preserve">have and does not seem to share </w:t>
      </w:r>
      <w:r w:rsidR="00244BA3">
        <w:rPr>
          <w:rFonts w:ascii="Times New Roman" w:hAnsi="Times New Roman" w:cs="Times New Roman"/>
        </w:rPr>
        <w:t>publicly</w:t>
      </w:r>
      <w:r w:rsidR="003751B3">
        <w:rPr>
          <w:rFonts w:ascii="Times New Roman" w:hAnsi="Times New Roman" w:cs="Times New Roman"/>
        </w:rPr>
        <w:t xml:space="preserve">). </w:t>
      </w:r>
      <w:r w:rsidR="00A534FB">
        <w:rPr>
          <w:rFonts w:ascii="Times New Roman" w:hAnsi="Times New Roman" w:cs="Times New Roman"/>
        </w:rPr>
        <w:t xml:space="preserve">We assume the number of pods they are ordering roughly based on the number of coffees the average person drinks, the average HH size, and the </w:t>
      </w:r>
      <w:r w:rsidR="00244BA3">
        <w:rPr>
          <w:rFonts w:ascii="Times New Roman" w:hAnsi="Times New Roman" w:cs="Times New Roman"/>
        </w:rPr>
        <w:t>percentage</w:t>
      </w:r>
      <w:r w:rsidR="00A534FB">
        <w:rPr>
          <w:rFonts w:ascii="Times New Roman" w:hAnsi="Times New Roman" w:cs="Times New Roman"/>
        </w:rPr>
        <w:t xml:space="preserve"> consumed at home </w:t>
      </w:r>
      <w:r w:rsidR="00683CF6">
        <w:rPr>
          <w:rFonts w:ascii="Times New Roman" w:hAnsi="Times New Roman" w:cs="Times New Roman"/>
        </w:rPr>
        <w:t>with Keurig</w:t>
      </w:r>
      <w:r w:rsidR="00A92E19">
        <w:rPr>
          <w:rFonts w:ascii="Times New Roman" w:hAnsi="Times New Roman" w:cs="Times New Roman"/>
        </w:rPr>
        <w:t>. W</w:t>
      </w:r>
      <w:r w:rsidR="00683CF6">
        <w:rPr>
          <w:rFonts w:ascii="Times New Roman" w:hAnsi="Times New Roman" w:cs="Times New Roman"/>
        </w:rPr>
        <w:t xml:space="preserve">e then get to </w:t>
      </w:r>
      <w:r w:rsidR="00A236E2">
        <w:rPr>
          <w:rFonts w:ascii="Times New Roman" w:hAnsi="Times New Roman" w:cs="Times New Roman"/>
        </w:rPr>
        <w:t>15,520M</w:t>
      </w:r>
      <w:r w:rsidR="00683CF6">
        <w:rPr>
          <w:rFonts w:ascii="Times New Roman" w:hAnsi="Times New Roman" w:cs="Times New Roman"/>
        </w:rPr>
        <w:t xml:space="preserve"> pods </w:t>
      </w:r>
      <w:r w:rsidR="00A236E2">
        <w:rPr>
          <w:rFonts w:ascii="Times New Roman" w:hAnsi="Times New Roman" w:cs="Times New Roman"/>
        </w:rPr>
        <w:t>ordered</w:t>
      </w:r>
      <w:r w:rsidR="00683CF6">
        <w:rPr>
          <w:rFonts w:ascii="Times New Roman" w:hAnsi="Times New Roman" w:cs="Times New Roman"/>
        </w:rPr>
        <w:t xml:space="preserve"> per year. From here, we apply a cost per pod and a retailer margin to get to </w:t>
      </w:r>
      <w:r w:rsidR="008463BE">
        <w:rPr>
          <w:rFonts w:ascii="Times New Roman" w:hAnsi="Times New Roman" w:cs="Times New Roman"/>
        </w:rPr>
        <w:t>4,656 as our TAM. KDP</w:t>
      </w:r>
      <w:r w:rsidR="00C659AA">
        <w:rPr>
          <w:rFonts w:ascii="Times New Roman" w:hAnsi="Times New Roman" w:cs="Times New Roman"/>
        </w:rPr>
        <w:t>’s pod revenue</w:t>
      </w:r>
      <w:r w:rsidR="008463BE">
        <w:rPr>
          <w:rFonts w:ascii="Times New Roman" w:hAnsi="Times New Roman" w:cs="Times New Roman"/>
        </w:rPr>
        <w:t xml:space="preserve"> is currently at 81% </w:t>
      </w:r>
      <w:r w:rsidR="00C659AA">
        <w:rPr>
          <w:rFonts w:ascii="Times New Roman" w:hAnsi="Times New Roman" w:cs="Times New Roman"/>
        </w:rPr>
        <w:t>of this TAM. This analysis fails to explicitly include the</w:t>
      </w:r>
      <w:r w:rsidR="00244BA3">
        <w:rPr>
          <w:rFonts w:ascii="Times New Roman" w:hAnsi="Times New Roman" w:cs="Times New Roman"/>
        </w:rPr>
        <w:t xml:space="preserve"> share of at home pod market going to Keurig instead of its competitors, such as Nestle’s Nespresso. It also implicitly assumes that nearly all US HHs are aware of Keurig </w:t>
      </w:r>
      <w:r w:rsidR="00CA3CAD">
        <w:rPr>
          <w:rFonts w:ascii="Times New Roman" w:hAnsi="Times New Roman" w:cs="Times New Roman"/>
        </w:rPr>
        <w:t>–</w:t>
      </w:r>
      <w:r w:rsidR="00244BA3">
        <w:rPr>
          <w:rFonts w:ascii="Times New Roman" w:hAnsi="Times New Roman" w:cs="Times New Roman"/>
        </w:rPr>
        <w:t xml:space="preserve"> </w:t>
      </w:r>
      <w:r w:rsidR="00CA3CAD">
        <w:rPr>
          <w:rFonts w:ascii="Times New Roman" w:hAnsi="Times New Roman" w:cs="Times New Roman"/>
        </w:rPr>
        <w:t xml:space="preserve">KDP </w:t>
      </w:r>
      <w:r w:rsidR="00911AAC">
        <w:rPr>
          <w:rFonts w:ascii="Times New Roman" w:hAnsi="Times New Roman" w:cs="Times New Roman"/>
        </w:rPr>
        <w:t>‘</w:t>
      </w:r>
      <w:r w:rsidR="00CA3CAD">
        <w:rPr>
          <w:rFonts w:ascii="Times New Roman" w:hAnsi="Times New Roman" w:cs="Times New Roman"/>
        </w:rPr>
        <w:t xml:space="preserve">21 IDP claims that </w:t>
      </w:r>
      <w:r w:rsidR="00DA1ACC">
        <w:rPr>
          <w:rFonts w:ascii="Times New Roman" w:hAnsi="Times New Roman" w:cs="Times New Roman"/>
        </w:rPr>
        <w:t xml:space="preserve">~10% of US HHs are not aware of Keurig. </w:t>
      </w:r>
    </w:p>
    <w:p w14:paraId="2227106F" w14:textId="2139A27A" w:rsidR="00223CA5" w:rsidRDefault="00223CA5" w:rsidP="009923B3">
      <w:pPr>
        <w:ind w:firstLine="720"/>
        <w:jc w:val="both"/>
        <w:rPr>
          <w:rFonts w:ascii="Times New Roman" w:hAnsi="Times New Roman" w:cs="Times New Roman"/>
        </w:rPr>
      </w:pPr>
      <w:r w:rsidRPr="00807C0A">
        <w:rPr>
          <w:rFonts w:ascii="Times New Roman" w:hAnsi="Times New Roman" w:cs="Times New Roman"/>
          <w:b/>
          <w:bCs/>
        </w:rPr>
        <w:t>Resource Constraint:</w:t>
      </w:r>
      <w:r w:rsidRPr="00381631">
        <w:rPr>
          <w:rFonts w:ascii="Times New Roman" w:hAnsi="Times New Roman" w:cs="Times New Roman"/>
        </w:rPr>
        <w:t xml:space="preserve"> </w:t>
      </w:r>
      <w:r w:rsidR="009923B3">
        <w:rPr>
          <w:rFonts w:ascii="Times New Roman" w:hAnsi="Times New Roman" w:cs="Times New Roman"/>
        </w:rPr>
        <w:t xml:space="preserve">Analysis begins with the USDA’s estimate of global coffee produced between both Arabica and Robusta (we make no </w:t>
      </w:r>
      <w:r w:rsidR="003F431F">
        <w:rPr>
          <w:rFonts w:ascii="Times New Roman" w:hAnsi="Times New Roman" w:cs="Times New Roman"/>
        </w:rPr>
        <w:t>distinction</w:t>
      </w:r>
      <w:r w:rsidR="009923B3">
        <w:rPr>
          <w:rFonts w:ascii="Times New Roman" w:hAnsi="Times New Roman" w:cs="Times New Roman"/>
        </w:rPr>
        <w:t xml:space="preserve"> between the two – this may be very ill-informed). We then use a roast weight reduction of 0.77 (</w:t>
      </w:r>
      <w:proofErr w:type="gramStart"/>
      <w:r w:rsidR="001B2675">
        <w:rPr>
          <w:rFonts w:ascii="Times New Roman" w:hAnsi="Times New Roman" w:cs="Times New Roman"/>
        </w:rPr>
        <w:t>i.e.</w:t>
      </w:r>
      <w:proofErr w:type="gramEnd"/>
      <w:r w:rsidR="009923B3">
        <w:rPr>
          <w:rFonts w:ascii="Times New Roman" w:hAnsi="Times New Roman" w:cs="Times New Roman"/>
        </w:rPr>
        <w:t xml:space="preserve"> 23% of the weight of the grown coffee beans is water that evaporates during roasting (implies all coffee beans must be roasted</w:t>
      </w:r>
      <w:r w:rsidR="001B2675">
        <w:rPr>
          <w:rFonts w:ascii="Times New Roman" w:hAnsi="Times New Roman" w:cs="Times New Roman"/>
        </w:rPr>
        <w:t>)</w:t>
      </w:r>
      <w:r w:rsidR="009923B3">
        <w:rPr>
          <w:rFonts w:ascii="Times New Roman" w:hAnsi="Times New Roman" w:cs="Times New Roman"/>
        </w:rPr>
        <w:t xml:space="preserve">). </w:t>
      </w:r>
      <w:r w:rsidR="00AB2FC7">
        <w:rPr>
          <w:rFonts w:ascii="Times New Roman" w:hAnsi="Times New Roman" w:cs="Times New Roman"/>
        </w:rPr>
        <w:t>We then use 18 grams of roasted coffee / cup of coffee, (check Excel for citation) to arrive at 447</w:t>
      </w:r>
      <w:r w:rsidR="00D02051">
        <w:rPr>
          <w:rFonts w:ascii="Times New Roman" w:hAnsi="Times New Roman" w:cs="Times New Roman"/>
        </w:rPr>
        <w:t xml:space="preserve">B cups / year globally. The USDA estimates that 16% of consumption happens in the US, we use 88% at home, as per KDP </w:t>
      </w:r>
      <w:r w:rsidR="001B2675">
        <w:rPr>
          <w:rFonts w:ascii="Times New Roman" w:hAnsi="Times New Roman" w:cs="Times New Roman"/>
        </w:rPr>
        <w:t>‘</w:t>
      </w:r>
      <w:r w:rsidR="00D02051">
        <w:rPr>
          <w:rFonts w:ascii="Times New Roman" w:hAnsi="Times New Roman" w:cs="Times New Roman"/>
        </w:rPr>
        <w:t xml:space="preserve">21 IDP, and assume that KDP has 50% of that market (again estimated from KDP’s ’21 IDP) to arrive at </w:t>
      </w:r>
      <w:r w:rsidR="0092568E">
        <w:rPr>
          <w:rFonts w:ascii="Times New Roman" w:hAnsi="Times New Roman" w:cs="Times New Roman"/>
        </w:rPr>
        <w:t xml:space="preserve">31B Keurig coffees per year. We assume that each pod only makes one cup of coffee, $0.60 per pod, and 50% retailer margin to get that the TAM is </w:t>
      </w:r>
      <w:r w:rsidR="002B7B3F">
        <w:rPr>
          <w:rFonts w:ascii="Times New Roman" w:hAnsi="Times New Roman" w:cs="Times New Roman"/>
        </w:rPr>
        <w:t xml:space="preserve">9,463M. KDP is currently at 40% of this TAM. It aligns with intuition that the % of TAM that KDP is at should be lower for pods than it is for machines. Given that the machine penetration is already quite high, 45M HHs, and </w:t>
      </w:r>
      <w:r w:rsidR="003F431F">
        <w:rPr>
          <w:rFonts w:ascii="Times New Roman" w:hAnsi="Times New Roman" w:cs="Times New Roman"/>
        </w:rPr>
        <w:t>revenue presented in</w:t>
      </w:r>
      <w:hyperlink w:anchor="fig1" w:history="1">
        <w:r w:rsidR="003F431F" w:rsidRPr="001B2675">
          <w:rPr>
            <w:rStyle w:val="Hyperlink"/>
            <w:rFonts w:ascii="Times New Roman" w:hAnsi="Times New Roman" w:cs="Times New Roman"/>
          </w:rPr>
          <w:t xml:space="preserve"> Figure 1</w:t>
        </w:r>
      </w:hyperlink>
      <w:r w:rsidR="003F431F">
        <w:rPr>
          <w:rFonts w:ascii="Times New Roman" w:hAnsi="Times New Roman" w:cs="Times New Roman"/>
        </w:rPr>
        <w:t xml:space="preserve"> as discussed above, it seems that appliances are a very mature business. </w:t>
      </w:r>
      <w:r w:rsidR="003F431F" w:rsidRPr="00E91F7E">
        <w:rPr>
          <w:rFonts w:ascii="Times New Roman" w:hAnsi="Times New Roman" w:cs="Times New Roman"/>
          <w:i/>
          <w:iCs/>
        </w:rPr>
        <w:t xml:space="preserve">Where KDP seems to be </w:t>
      </w:r>
      <w:r w:rsidR="001B2675" w:rsidRPr="00E91F7E">
        <w:rPr>
          <w:rFonts w:ascii="Times New Roman" w:hAnsi="Times New Roman" w:cs="Times New Roman"/>
          <w:i/>
          <w:iCs/>
        </w:rPr>
        <w:t>losing</w:t>
      </w:r>
      <w:r w:rsidR="003F431F" w:rsidRPr="00E91F7E">
        <w:rPr>
          <w:rFonts w:ascii="Times New Roman" w:hAnsi="Times New Roman" w:cs="Times New Roman"/>
          <w:i/>
          <w:iCs/>
        </w:rPr>
        <w:t xml:space="preserve"> is from people owning a Keurig but opting to not use it to make their coffee.</w:t>
      </w:r>
      <w:r w:rsidR="003F431F">
        <w:rPr>
          <w:rFonts w:ascii="Times New Roman" w:hAnsi="Times New Roman" w:cs="Times New Roman"/>
        </w:rPr>
        <w:t xml:space="preserve"> This makes sense when there are many different options, switching costs are extremely low (drip coffee makers can be as low as $5)</w:t>
      </w:r>
      <w:r w:rsidR="001B2675">
        <w:rPr>
          <w:rFonts w:ascii="Times New Roman" w:hAnsi="Times New Roman" w:cs="Times New Roman"/>
        </w:rPr>
        <w:t>,</w:t>
      </w:r>
      <w:r w:rsidR="003F431F">
        <w:rPr>
          <w:rFonts w:ascii="Times New Roman" w:hAnsi="Times New Roman" w:cs="Times New Roman"/>
        </w:rPr>
        <w:t xml:space="preserve"> and the per cup cost of ground coffee is about $0.11 according to Bernstein while closer $0.60 for a K-Cup. </w:t>
      </w:r>
    </w:p>
    <w:p w14:paraId="3FB36932" w14:textId="4EC3E9AC" w:rsidR="00AE2B9B" w:rsidRDefault="003F431F" w:rsidP="00265092">
      <w:pPr>
        <w:ind w:firstLine="720"/>
        <w:jc w:val="both"/>
        <w:rPr>
          <w:rFonts w:ascii="Times New Roman" w:hAnsi="Times New Roman" w:cs="Times New Roman"/>
        </w:rPr>
      </w:pPr>
      <w:r w:rsidRPr="001B2675">
        <w:rPr>
          <w:rFonts w:ascii="Times New Roman" w:hAnsi="Times New Roman" w:cs="Times New Roman"/>
          <w:b/>
          <w:bCs/>
        </w:rPr>
        <w:t>Considered Alternatives:</w:t>
      </w:r>
      <w:r>
        <w:rPr>
          <w:rFonts w:ascii="Times New Roman" w:hAnsi="Times New Roman" w:cs="Times New Roman"/>
        </w:rPr>
        <w:t xml:space="preserve"> I attempted to explore production capacity at KDP itself which proved too challenging. Given management’s discussion of the </w:t>
      </w:r>
      <w:r w:rsidR="001B2675">
        <w:rPr>
          <w:rFonts w:ascii="Times New Roman" w:hAnsi="Times New Roman" w:cs="Times New Roman"/>
        </w:rPr>
        <w:t xml:space="preserve">Spartanburg, SC facility, I tried to back out the increase </w:t>
      </w:r>
      <w:r w:rsidR="005527E9">
        <w:rPr>
          <w:rFonts w:ascii="Times New Roman" w:hAnsi="Times New Roman" w:cs="Times New Roman"/>
        </w:rPr>
        <w:t>in</w:t>
      </w:r>
      <w:r w:rsidR="001B2675">
        <w:rPr>
          <w:rFonts w:ascii="Times New Roman" w:hAnsi="Times New Roman" w:cs="Times New Roman"/>
        </w:rPr>
        <w:t xml:space="preserve"> production capacities which may be attributable to this facility. It is a </w:t>
      </w:r>
      <w:r w:rsidR="00F15BA7">
        <w:rPr>
          <w:rFonts w:ascii="Times New Roman" w:hAnsi="Times New Roman" w:cs="Times New Roman"/>
        </w:rPr>
        <w:t>~</w:t>
      </w:r>
      <w:r w:rsidR="001B2675">
        <w:rPr>
          <w:rFonts w:ascii="Times New Roman" w:hAnsi="Times New Roman" w:cs="Times New Roman"/>
        </w:rPr>
        <w:t>3</w:t>
      </w:r>
      <w:r w:rsidR="00F15BA7">
        <w:rPr>
          <w:rFonts w:ascii="Times New Roman" w:hAnsi="Times New Roman" w:cs="Times New Roman"/>
        </w:rPr>
        <w:t>5</w:t>
      </w:r>
      <w:r w:rsidR="001B2675">
        <w:rPr>
          <w:rFonts w:ascii="Times New Roman" w:hAnsi="Times New Roman" w:cs="Times New Roman"/>
        </w:rPr>
        <w:t xml:space="preserve">0M investment which will create </w:t>
      </w:r>
      <w:hyperlink r:id="rId6" w:history="1">
        <w:r w:rsidR="001B2675" w:rsidRPr="00F15BA7">
          <w:rPr>
            <w:rStyle w:val="Hyperlink"/>
            <w:rFonts w:ascii="Times New Roman" w:hAnsi="Times New Roman" w:cs="Times New Roman"/>
          </w:rPr>
          <w:t>~500 jobs</w:t>
        </w:r>
      </w:hyperlink>
      <w:r w:rsidR="001B2675">
        <w:rPr>
          <w:rFonts w:ascii="Times New Roman" w:hAnsi="Times New Roman" w:cs="Times New Roman"/>
        </w:rPr>
        <w:t>. I looked on public SC government websites to try to find information about why the completion of the project has been so delayed</w:t>
      </w:r>
      <w:r w:rsidR="00F15BA7">
        <w:rPr>
          <w:rFonts w:ascii="Times New Roman" w:hAnsi="Times New Roman" w:cs="Times New Roman"/>
        </w:rPr>
        <w:t xml:space="preserve"> (it has</w:t>
      </w:r>
      <w:r w:rsidR="001B2675">
        <w:rPr>
          <w:rFonts w:ascii="Times New Roman" w:hAnsi="Times New Roman" w:cs="Times New Roman"/>
        </w:rPr>
        <w:t xml:space="preserve"> been going on for 5+yrs, delay publicly attributed to Covid</w:t>
      </w:r>
      <w:r w:rsidR="00F15BA7">
        <w:rPr>
          <w:rFonts w:ascii="Times New Roman" w:hAnsi="Times New Roman" w:cs="Times New Roman"/>
        </w:rPr>
        <w:t>)</w:t>
      </w:r>
      <w:r w:rsidR="001B2675">
        <w:rPr>
          <w:rFonts w:ascii="Times New Roman" w:hAnsi="Times New Roman" w:cs="Times New Roman"/>
        </w:rPr>
        <w:t>. I was also unable to find helpful reference points</w:t>
      </w:r>
      <w:r w:rsidR="001A7957">
        <w:rPr>
          <w:rFonts w:ascii="Times New Roman" w:hAnsi="Times New Roman" w:cs="Times New Roman"/>
        </w:rPr>
        <w:t>. I</w:t>
      </w:r>
      <w:r w:rsidR="001B2675">
        <w:rPr>
          <w:rFonts w:ascii="Times New Roman" w:hAnsi="Times New Roman" w:cs="Times New Roman"/>
        </w:rPr>
        <w:t>n a</w:t>
      </w:r>
      <w:r w:rsidR="001A7957">
        <w:rPr>
          <w:rFonts w:ascii="Times New Roman" w:hAnsi="Times New Roman" w:cs="Times New Roman"/>
        </w:rPr>
        <w:t>n investor</w:t>
      </w:r>
      <w:r w:rsidR="001B2675">
        <w:rPr>
          <w:rFonts w:ascii="Times New Roman" w:hAnsi="Times New Roman" w:cs="Times New Roman"/>
        </w:rPr>
        <w:t xml:space="preserve"> presentation</w:t>
      </w:r>
      <w:r w:rsidR="001A7957">
        <w:rPr>
          <w:rFonts w:ascii="Times New Roman" w:hAnsi="Times New Roman" w:cs="Times New Roman"/>
        </w:rPr>
        <w:t xml:space="preserve"> on 2018/03/20</w:t>
      </w:r>
      <w:r w:rsidR="001B2675">
        <w:rPr>
          <w:rFonts w:ascii="Times New Roman" w:hAnsi="Times New Roman" w:cs="Times New Roman"/>
        </w:rPr>
        <w:t xml:space="preserve">, </w:t>
      </w:r>
      <w:r w:rsidR="00C8473D">
        <w:rPr>
          <w:rFonts w:ascii="Times New Roman" w:hAnsi="Times New Roman" w:cs="Times New Roman"/>
        </w:rPr>
        <w:t>Keurig</w:t>
      </w:r>
      <w:r w:rsidR="001B2675">
        <w:rPr>
          <w:rFonts w:ascii="Times New Roman" w:hAnsi="Times New Roman" w:cs="Times New Roman"/>
        </w:rPr>
        <w:t xml:space="preserve"> informs investors that they have seven </w:t>
      </w:r>
      <w:r w:rsidR="00E92C71">
        <w:rPr>
          <w:rFonts w:ascii="Times New Roman" w:hAnsi="Times New Roman" w:cs="Times New Roman"/>
        </w:rPr>
        <w:t xml:space="preserve">distribution </w:t>
      </w:r>
      <w:r w:rsidR="00A728ED">
        <w:rPr>
          <w:rFonts w:ascii="Times New Roman" w:hAnsi="Times New Roman" w:cs="Times New Roman"/>
        </w:rPr>
        <w:t>centers</w:t>
      </w:r>
      <w:r w:rsidR="001B2675">
        <w:rPr>
          <w:rFonts w:ascii="Times New Roman" w:hAnsi="Times New Roman" w:cs="Times New Roman"/>
        </w:rPr>
        <w:t xml:space="preserve">, but I was fearful to use this given the inherent possibility of supply chain reconfiguration, post-merger changes, synergies, etc. I think that more research into the Spartanburg facility and its associated delays, costs, and potential benefits might provide further insight. </w:t>
      </w:r>
      <w:r w:rsidR="00AE2B9B">
        <w:rPr>
          <w:rFonts w:ascii="Times New Roman" w:hAnsi="Times New Roman" w:cs="Times New Roman"/>
        </w:rPr>
        <w:br w:type="page"/>
      </w:r>
    </w:p>
    <w:p w14:paraId="02108C89" w14:textId="50021603" w:rsidR="00223CA5" w:rsidRPr="004F2914" w:rsidRDefault="00AE2B9B">
      <w:pPr>
        <w:rPr>
          <w:rFonts w:ascii="Times New Roman" w:hAnsi="Times New Roman" w:cs="Times New Roman"/>
          <w:b/>
          <w:bCs/>
        </w:rPr>
      </w:pPr>
      <w:bookmarkStart w:id="0" w:name="fig1"/>
      <w:r w:rsidRPr="004F2914">
        <w:rPr>
          <w:rFonts w:ascii="Times New Roman" w:hAnsi="Times New Roman" w:cs="Times New Roman"/>
          <w:b/>
          <w:bCs/>
        </w:rPr>
        <w:lastRenderedPageBreak/>
        <w:t xml:space="preserve">Figure 1: </w:t>
      </w:r>
      <w:r w:rsidR="00A728ED">
        <w:rPr>
          <w:rFonts w:ascii="Times New Roman" w:hAnsi="Times New Roman" w:cs="Times New Roman"/>
          <w:b/>
          <w:bCs/>
        </w:rPr>
        <w:t xml:space="preserve">Appliance Revenue vs. Coffee Revenue </w:t>
      </w:r>
    </w:p>
    <w:bookmarkEnd w:id="0"/>
    <w:p w14:paraId="637882E3" w14:textId="52FD4B25" w:rsidR="00AE2B9B" w:rsidRDefault="00D134D8" w:rsidP="009D3F7E">
      <w:pPr>
        <w:jc w:val="center"/>
        <w:rPr>
          <w:rFonts w:ascii="Times New Roman" w:hAnsi="Times New Roman" w:cs="Times New Roman"/>
        </w:rPr>
      </w:pPr>
      <w:r>
        <w:rPr>
          <w:noProof/>
        </w:rPr>
        <w:drawing>
          <wp:inline distT="0" distB="0" distL="0" distR="0" wp14:anchorId="7DB896D6" wp14:editId="6478F8A9">
            <wp:extent cx="5943600" cy="3321050"/>
            <wp:effectExtent l="0" t="0" r="0" b="12700"/>
            <wp:docPr id="2" name="Chart 2">
              <a:extLst xmlns:a="http://schemas.openxmlformats.org/drawingml/2006/main">
                <a:ext uri="{FF2B5EF4-FFF2-40B4-BE49-F238E27FC236}">
                  <a16:creationId xmlns:a16="http://schemas.microsoft.com/office/drawing/2014/main" id="{643939DF-0871-BBCD-FD88-F58BA8D18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760A4B" w14:textId="77777777" w:rsidR="00A728ED" w:rsidRDefault="00A728ED">
      <w:pPr>
        <w:rPr>
          <w:rFonts w:ascii="Times New Roman" w:hAnsi="Times New Roman" w:cs="Times New Roman"/>
        </w:rPr>
      </w:pPr>
    </w:p>
    <w:p w14:paraId="2DF51B9B" w14:textId="32C01C74" w:rsidR="00A728ED" w:rsidRPr="00D134D8" w:rsidRDefault="00A728ED">
      <w:pPr>
        <w:rPr>
          <w:rFonts w:ascii="Times New Roman" w:hAnsi="Times New Roman" w:cs="Times New Roman"/>
          <w:b/>
          <w:bCs/>
        </w:rPr>
      </w:pPr>
      <w:r w:rsidRPr="00D134D8">
        <w:rPr>
          <w:rFonts w:ascii="Times New Roman" w:hAnsi="Times New Roman" w:cs="Times New Roman"/>
          <w:b/>
          <w:bCs/>
        </w:rPr>
        <w:t xml:space="preserve">Figure 2: Keurig Revenues as a Percentage of Estimated TAM </w:t>
      </w:r>
    </w:p>
    <w:tbl>
      <w:tblPr>
        <w:tblW w:w="4800" w:type="dxa"/>
        <w:jc w:val="center"/>
        <w:tblCellMar>
          <w:left w:w="0" w:type="dxa"/>
          <w:right w:w="0" w:type="dxa"/>
        </w:tblCellMar>
        <w:tblLook w:val="04A0" w:firstRow="1" w:lastRow="0" w:firstColumn="1" w:lastColumn="0" w:noHBand="0" w:noVBand="1"/>
      </w:tblPr>
      <w:tblGrid>
        <w:gridCol w:w="2188"/>
        <w:gridCol w:w="872"/>
        <w:gridCol w:w="1740"/>
      </w:tblGrid>
      <w:tr w:rsidR="009D3F7E" w14:paraId="33EBED85" w14:textId="77777777" w:rsidTr="009D3F7E">
        <w:trPr>
          <w:trHeight w:val="480"/>
          <w:jc w:val="center"/>
        </w:trPr>
        <w:tc>
          <w:tcPr>
            <w:tcW w:w="4800" w:type="dxa"/>
            <w:gridSpan w:val="3"/>
            <w:tcBorders>
              <w:top w:val="nil"/>
              <w:left w:val="nil"/>
              <w:bottom w:val="nil"/>
              <w:right w:val="nil"/>
            </w:tcBorders>
            <w:shd w:val="clear" w:color="000000" w:fill="4472C4"/>
            <w:vAlign w:val="center"/>
            <w:hideMark/>
          </w:tcPr>
          <w:p w14:paraId="00FE3961" w14:textId="77777777" w:rsidR="009D3F7E" w:rsidRDefault="009D3F7E">
            <w:pPr>
              <w:rPr>
                <w:rFonts w:ascii="Calibri" w:hAnsi="Calibri" w:cs="Calibri"/>
                <w:b/>
                <w:bCs/>
                <w:color w:val="FFFFFF"/>
              </w:rPr>
            </w:pPr>
            <w:r>
              <w:rPr>
                <w:rFonts w:ascii="Calibri" w:hAnsi="Calibri" w:cs="Calibri"/>
                <w:b/>
                <w:bCs/>
                <w:color w:val="FFFFFF"/>
              </w:rPr>
              <w:t xml:space="preserve">Keurig Revenue as a Percentage of Estimated TAM </w:t>
            </w:r>
          </w:p>
        </w:tc>
      </w:tr>
      <w:tr w:rsidR="009D3F7E" w14:paraId="58A2F775" w14:textId="77777777" w:rsidTr="009D3F7E">
        <w:trPr>
          <w:trHeight w:val="290"/>
          <w:jc w:val="center"/>
        </w:trPr>
        <w:tc>
          <w:tcPr>
            <w:tcW w:w="0" w:type="auto"/>
            <w:tcBorders>
              <w:top w:val="nil"/>
              <w:left w:val="nil"/>
              <w:bottom w:val="nil"/>
              <w:right w:val="nil"/>
            </w:tcBorders>
            <w:shd w:val="clear" w:color="auto" w:fill="auto"/>
            <w:noWrap/>
            <w:vAlign w:val="bottom"/>
            <w:hideMark/>
          </w:tcPr>
          <w:p w14:paraId="7D03D264" w14:textId="77777777" w:rsidR="009D3F7E" w:rsidRDefault="009D3F7E">
            <w:pPr>
              <w:rPr>
                <w:rFonts w:ascii="Calibri" w:hAnsi="Calibri" w:cs="Calibri"/>
                <w:b/>
                <w:bCs/>
                <w:color w:val="FFFFFF"/>
              </w:rPr>
            </w:pPr>
          </w:p>
        </w:tc>
        <w:tc>
          <w:tcPr>
            <w:tcW w:w="0" w:type="auto"/>
            <w:tcBorders>
              <w:top w:val="nil"/>
              <w:left w:val="nil"/>
              <w:bottom w:val="nil"/>
              <w:right w:val="nil"/>
            </w:tcBorders>
            <w:shd w:val="clear" w:color="auto" w:fill="auto"/>
            <w:noWrap/>
            <w:vAlign w:val="bottom"/>
            <w:hideMark/>
          </w:tcPr>
          <w:p w14:paraId="16AB522F" w14:textId="77777777" w:rsidR="009D3F7E" w:rsidRDefault="009D3F7E">
            <w:pPr>
              <w:rPr>
                <w:rFonts w:ascii="Calibri" w:hAnsi="Calibri" w:cs="Calibri"/>
                <w:b/>
                <w:bCs/>
                <w:color w:val="000000"/>
              </w:rPr>
            </w:pPr>
            <w:r>
              <w:rPr>
                <w:rFonts w:ascii="Calibri" w:hAnsi="Calibri" w:cs="Calibri"/>
                <w:b/>
                <w:bCs/>
                <w:color w:val="000000"/>
              </w:rPr>
              <w:t>Pods</w:t>
            </w:r>
          </w:p>
        </w:tc>
        <w:tc>
          <w:tcPr>
            <w:tcW w:w="0" w:type="auto"/>
            <w:tcBorders>
              <w:top w:val="nil"/>
              <w:left w:val="nil"/>
              <w:bottom w:val="nil"/>
              <w:right w:val="nil"/>
            </w:tcBorders>
            <w:shd w:val="clear" w:color="auto" w:fill="auto"/>
            <w:noWrap/>
            <w:vAlign w:val="bottom"/>
            <w:hideMark/>
          </w:tcPr>
          <w:p w14:paraId="457C9D15" w14:textId="77777777" w:rsidR="009D3F7E" w:rsidRDefault="009D3F7E">
            <w:pPr>
              <w:rPr>
                <w:rFonts w:ascii="Calibri" w:hAnsi="Calibri" w:cs="Calibri"/>
                <w:b/>
                <w:bCs/>
                <w:color w:val="000000"/>
              </w:rPr>
            </w:pPr>
            <w:r>
              <w:rPr>
                <w:rFonts w:ascii="Calibri" w:hAnsi="Calibri" w:cs="Calibri"/>
                <w:b/>
                <w:bCs/>
                <w:color w:val="000000"/>
              </w:rPr>
              <w:t>Machines</w:t>
            </w:r>
          </w:p>
        </w:tc>
      </w:tr>
      <w:tr w:rsidR="009D3F7E" w14:paraId="403D47A5" w14:textId="77777777" w:rsidTr="009D3F7E">
        <w:trPr>
          <w:trHeight w:val="290"/>
          <w:jc w:val="center"/>
        </w:trPr>
        <w:tc>
          <w:tcPr>
            <w:tcW w:w="0" w:type="auto"/>
            <w:tcBorders>
              <w:top w:val="nil"/>
              <w:left w:val="nil"/>
              <w:bottom w:val="nil"/>
              <w:right w:val="nil"/>
            </w:tcBorders>
            <w:shd w:val="clear" w:color="auto" w:fill="auto"/>
            <w:noWrap/>
            <w:vAlign w:val="bottom"/>
            <w:hideMark/>
          </w:tcPr>
          <w:p w14:paraId="7EFC329E" w14:textId="77777777" w:rsidR="009D3F7E" w:rsidRDefault="009D3F7E">
            <w:pPr>
              <w:jc w:val="right"/>
              <w:rPr>
                <w:rFonts w:ascii="Calibri" w:hAnsi="Calibri" w:cs="Calibri"/>
                <w:b/>
                <w:bCs/>
                <w:color w:val="000000"/>
              </w:rPr>
            </w:pPr>
            <w:r>
              <w:rPr>
                <w:rFonts w:ascii="Calibri" w:hAnsi="Calibri" w:cs="Calibri"/>
                <w:b/>
                <w:bCs/>
                <w:color w:val="000000"/>
              </w:rPr>
              <w:t>Top-Down</w:t>
            </w:r>
          </w:p>
        </w:tc>
        <w:tc>
          <w:tcPr>
            <w:tcW w:w="0" w:type="auto"/>
            <w:tcBorders>
              <w:top w:val="nil"/>
              <w:left w:val="nil"/>
              <w:bottom w:val="nil"/>
              <w:right w:val="nil"/>
            </w:tcBorders>
            <w:shd w:val="clear" w:color="auto" w:fill="auto"/>
            <w:noWrap/>
            <w:vAlign w:val="bottom"/>
            <w:hideMark/>
          </w:tcPr>
          <w:p w14:paraId="2C2EE5EA" w14:textId="77777777" w:rsidR="009D3F7E" w:rsidRDefault="009D3F7E">
            <w:pPr>
              <w:jc w:val="right"/>
              <w:rPr>
                <w:rFonts w:ascii="Calibri" w:hAnsi="Calibri" w:cs="Calibri"/>
                <w:color w:val="000000"/>
              </w:rPr>
            </w:pPr>
            <w:r>
              <w:rPr>
                <w:rFonts w:ascii="Calibri" w:hAnsi="Calibri" w:cs="Calibri"/>
                <w:color w:val="000000"/>
              </w:rPr>
              <w:t>79%</w:t>
            </w:r>
          </w:p>
        </w:tc>
        <w:tc>
          <w:tcPr>
            <w:tcW w:w="0" w:type="auto"/>
            <w:tcBorders>
              <w:top w:val="nil"/>
              <w:left w:val="nil"/>
              <w:bottom w:val="nil"/>
              <w:right w:val="nil"/>
            </w:tcBorders>
            <w:shd w:val="clear" w:color="auto" w:fill="auto"/>
            <w:noWrap/>
            <w:vAlign w:val="bottom"/>
            <w:hideMark/>
          </w:tcPr>
          <w:p w14:paraId="1E370811" w14:textId="77777777" w:rsidR="009D3F7E" w:rsidRDefault="009D3F7E">
            <w:pPr>
              <w:jc w:val="right"/>
              <w:rPr>
                <w:rFonts w:ascii="Calibri" w:hAnsi="Calibri" w:cs="Calibri"/>
                <w:color w:val="000000"/>
              </w:rPr>
            </w:pPr>
            <w:r>
              <w:rPr>
                <w:rFonts w:ascii="Calibri" w:hAnsi="Calibri" w:cs="Calibri"/>
                <w:color w:val="000000"/>
              </w:rPr>
              <w:t>79%</w:t>
            </w:r>
          </w:p>
        </w:tc>
      </w:tr>
      <w:tr w:rsidR="009D3F7E" w14:paraId="2BDD199A" w14:textId="77777777" w:rsidTr="009D3F7E">
        <w:trPr>
          <w:trHeight w:val="290"/>
          <w:jc w:val="center"/>
        </w:trPr>
        <w:tc>
          <w:tcPr>
            <w:tcW w:w="0" w:type="auto"/>
            <w:tcBorders>
              <w:top w:val="nil"/>
              <w:left w:val="nil"/>
              <w:bottom w:val="nil"/>
              <w:right w:val="nil"/>
            </w:tcBorders>
            <w:shd w:val="clear" w:color="auto" w:fill="auto"/>
            <w:noWrap/>
            <w:vAlign w:val="bottom"/>
            <w:hideMark/>
          </w:tcPr>
          <w:p w14:paraId="09F26C1F" w14:textId="77777777" w:rsidR="009D3F7E" w:rsidRDefault="009D3F7E">
            <w:pPr>
              <w:jc w:val="right"/>
              <w:rPr>
                <w:rFonts w:ascii="Calibri" w:hAnsi="Calibri" w:cs="Calibri"/>
                <w:b/>
                <w:bCs/>
                <w:color w:val="000000"/>
              </w:rPr>
            </w:pPr>
            <w:r>
              <w:rPr>
                <w:rFonts w:ascii="Calibri" w:hAnsi="Calibri" w:cs="Calibri"/>
                <w:b/>
                <w:bCs/>
                <w:color w:val="000000"/>
              </w:rPr>
              <w:t>Bottoms-Up</w:t>
            </w:r>
          </w:p>
        </w:tc>
        <w:tc>
          <w:tcPr>
            <w:tcW w:w="0" w:type="auto"/>
            <w:tcBorders>
              <w:top w:val="nil"/>
              <w:left w:val="nil"/>
              <w:bottom w:val="nil"/>
              <w:right w:val="nil"/>
            </w:tcBorders>
            <w:shd w:val="clear" w:color="auto" w:fill="auto"/>
            <w:noWrap/>
            <w:vAlign w:val="bottom"/>
            <w:hideMark/>
          </w:tcPr>
          <w:p w14:paraId="342A994F" w14:textId="77777777" w:rsidR="009D3F7E" w:rsidRDefault="009D3F7E">
            <w:pPr>
              <w:jc w:val="right"/>
              <w:rPr>
                <w:rFonts w:ascii="Calibri" w:hAnsi="Calibri" w:cs="Calibri"/>
                <w:color w:val="000000"/>
              </w:rPr>
            </w:pPr>
            <w:r>
              <w:rPr>
                <w:rFonts w:ascii="Calibri" w:hAnsi="Calibri" w:cs="Calibri"/>
                <w:color w:val="000000"/>
              </w:rPr>
              <w:t>81%</w:t>
            </w:r>
          </w:p>
        </w:tc>
        <w:tc>
          <w:tcPr>
            <w:tcW w:w="0" w:type="auto"/>
            <w:tcBorders>
              <w:top w:val="nil"/>
              <w:left w:val="nil"/>
              <w:bottom w:val="nil"/>
              <w:right w:val="nil"/>
            </w:tcBorders>
            <w:shd w:val="clear" w:color="auto" w:fill="auto"/>
            <w:noWrap/>
            <w:vAlign w:val="bottom"/>
            <w:hideMark/>
          </w:tcPr>
          <w:p w14:paraId="61484071" w14:textId="77777777" w:rsidR="009D3F7E" w:rsidRDefault="009D3F7E">
            <w:pPr>
              <w:jc w:val="right"/>
              <w:rPr>
                <w:rFonts w:ascii="Calibri" w:hAnsi="Calibri" w:cs="Calibri"/>
                <w:color w:val="000000"/>
              </w:rPr>
            </w:pPr>
            <w:r>
              <w:rPr>
                <w:rFonts w:ascii="Calibri" w:hAnsi="Calibri" w:cs="Calibri"/>
                <w:color w:val="000000"/>
              </w:rPr>
              <w:t>98%</w:t>
            </w:r>
          </w:p>
        </w:tc>
      </w:tr>
      <w:tr w:rsidR="009D3F7E" w14:paraId="12F7E821" w14:textId="77777777" w:rsidTr="009D3F7E">
        <w:trPr>
          <w:trHeight w:val="290"/>
          <w:jc w:val="center"/>
        </w:trPr>
        <w:tc>
          <w:tcPr>
            <w:tcW w:w="0" w:type="auto"/>
            <w:tcBorders>
              <w:top w:val="nil"/>
              <w:left w:val="nil"/>
              <w:bottom w:val="nil"/>
              <w:right w:val="nil"/>
            </w:tcBorders>
            <w:shd w:val="clear" w:color="auto" w:fill="auto"/>
            <w:noWrap/>
            <w:vAlign w:val="bottom"/>
            <w:hideMark/>
          </w:tcPr>
          <w:p w14:paraId="5C2BE7A9" w14:textId="77777777" w:rsidR="009D3F7E" w:rsidRDefault="009D3F7E">
            <w:pPr>
              <w:jc w:val="right"/>
              <w:rPr>
                <w:rFonts w:ascii="Calibri" w:hAnsi="Calibri" w:cs="Calibri"/>
                <w:b/>
                <w:bCs/>
                <w:color w:val="000000"/>
              </w:rPr>
            </w:pPr>
            <w:r>
              <w:rPr>
                <w:rFonts w:ascii="Calibri" w:hAnsi="Calibri" w:cs="Calibri"/>
                <w:b/>
                <w:bCs/>
                <w:color w:val="000000"/>
              </w:rPr>
              <w:t>Capacity</w:t>
            </w:r>
          </w:p>
        </w:tc>
        <w:tc>
          <w:tcPr>
            <w:tcW w:w="0" w:type="auto"/>
            <w:tcBorders>
              <w:top w:val="nil"/>
              <w:left w:val="nil"/>
              <w:bottom w:val="nil"/>
              <w:right w:val="nil"/>
            </w:tcBorders>
            <w:shd w:val="clear" w:color="auto" w:fill="auto"/>
            <w:noWrap/>
            <w:vAlign w:val="bottom"/>
            <w:hideMark/>
          </w:tcPr>
          <w:p w14:paraId="1B631983" w14:textId="77777777" w:rsidR="009D3F7E" w:rsidRDefault="009D3F7E">
            <w:pPr>
              <w:jc w:val="right"/>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vAlign w:val="bottom"/>
            <w:hideMark/>
          </w:tcPr>
          <w:p w14:paraId="43D66545" w14:textId="77777777" w:rsidR="009D3F7E" w:rsidRDefault="009D3F7E">
            <w:pPr>
              <w:jc w:val="right"/>
              <w:rPr>
                <w:rFonts w:ascii="Calibri" w:hAnsi="Calibri" w:cs="Calibri"/>
                <w:color w:val="000000"/>
              </w:rPr>
            </w:pPr>
          </w:p>
        </w:tc>
      </w:tr>
      <w:tr w:rsidR="009D3F7E" w14:paraId="6FBDE8BA" w14:textId="77777777" w:rsidTr="009D3F7E">
        <w:trPr>
          <w:trHeight w:val="290"/>
          <w:jc w:val="center"/>
        </w:trPr>
        <w:tc>
          <w:tcPr>
            <w:tcW w:w="0" w:type="auto"/>
            <w:tcBorders>
              <w:top w:val="nil"/>
              <w:left w:val="nil"/>
              <w:bottom w:val="nil"/>
              <w:right w:val="nil"/>
            </w:tcBorders>
            <w:shd w:val="clear" w:color="auto" w:fill="auto"/>
            <w:noWrap/>
            <w:vAlign w:val="bottom"/>
            <w:hideMark/>
          </w:tcPr>
          <w:p w14:paraId="4B90E838" w14:textId="77777777" w:rsidR="009D3F7E" w:rsidRDefault="009D3F7E">
            <w:pPr>
              <w:rPr>
                <w:sz w:val="20"/>
                <w:szCs w:val="20"/>
              </w:rPr>
            </w:pPr>
          </w:p>
        </w:tc>
        <w:tc>
          <w:tcPr>
            <w:tcW w:w="0" w:type="auto"/>
            <w:tcBorders>
              <w:top w:val="nil"/>
              <w:left w:val="nil"/>
              <w:bottom w:val="nil"/>
              <w:right w:val="nil"/>
            </w:tcBorders>
            <w:shd w:val="clear" w:color="auto" w:fill="auto"/>
            <w:noWrap/>
            <w:vAlign w:val="bottom"/>
            <w:hideMark/>
          </w:tcPr>
          <w:p w14:paraId="112988F5" w14:textId="77777777" w:rsidR="009D3F7E" w:rsidRDefault="009D3F7E">
            <w:pPr>
              <w:jc w:val="right"/>
              <w:rPr>
                <w:sz w:val="20"/>
                <w:szCs w:val="20"/>
              </w:rPr>
            </w:pPr>
          </w:p>
        </w:tc>
        <w:tc>
          <w:tcPr>
            <w:tcW w:w="0" w:type="auto"/>
            <w:tcBorders>
              <w:top w:val="nil"/>
              <w:left w:val="nil"/>
              <w:bottom w:val="nil"/>
              <w:right w:val="nil"/>
            </w:tcBorders>
            <w:shd w:val="clear" w:color="auto" w:fill="auto"/>
            <w:noWrap/>
            <w:vAlign w:val="bottom"/>
            <w:hideMark/>
          </w:tcPr>
          <w:p w14:paraId="0177E5F7" w14:textId="77777777" w:rsidR="009D3F7E" w:rsidRDefault="009D3F7E">
            <w:pPr>
              <w:rPr>
                <w:sz w:val="20"/>
                <w:szCs w:val="20"/>
              </w:rPr>
            </w:pPr>
          </w:p>
        </w:tc>
      </w:tr>
      <w:tr w:rsidR="009D3F7E" w14:paraId="4EF4359A" w14:textId="77777777" w:rsidTr="009D3F7E">
        <w:trPr>
          <w:trHeight w:val="290"/>
          <w:jc w:val="center"/>
        </w:trPr>
        <w:tc>
          <w:tcPr>
            <w:tcW w:w="0" w:type="auto"/>
            <w:tcBorders>
              <w:top w:val="nil"/>
              <w:left w:val="nil"/>
              <w:bottom w:val="nil"/>
              <w:right w:val="nil"/>
            </w:tcBorders>
            <w:shd w:val="clear" w:color="auto" w:fill="auto"/>
            <w:noWrap/>
            <w:vAlign w:val="bottom"/>
            <w:hideMark/>
          </w:tcPr>
          <w:p w14:paraId="63962A05" w14:textId="77777777" w:rsidR="009D3F7E" w:rsidRDefault="009D3F7E">
            <w:pPr>
              <w:jc w:val="right"/>
              <w:rPr>
                <w:rFonts w:ascii="Calibri" w:hAnsi="Calibri" w:cs="Calibri"/>
                <w:b/>
                <w:bCs/>
                <w:color w:val="000000"/>
              </w:rPr>
            </w:pPr>
            <w:r>
              <w:rPr>
                <w:rFonts w:ascii="Calibri" w:hAnsi="Calibri" w:cs="Calibri"/>
                <w:b/>
                <w:bCs/>
                <w:color w:val="000000"/>
              </w:rPr>
              <w:t>Avg</w:t>
            </w:r>
          </w:p>
        </w:tc>
        <w:tc>
          <w:tcPr>
            <w:tcW w:w="0" w:type="auto"/>
            <w:tcBorders>
              <w:top w:val="nil"/>
              <w:left w:val="nil"/>
              <w:bottom w:val="nil"/>
              <w:right w:val="nil"/>
            </w:tcBorders>
            <w:shd w:val="clear" w:color="auto" w:fill="auto"/>
            <w:noWrap/>
            <w:vAlign w:val="bottom"/>
            <w:hideMark/>
          </w:tcPr>
          <w:p w14:paraId="12D6F057" w14:textId="77777777" w:rsidR="009D3F7E" w:rsidRDefault="009D3F7E">
            <w:pPr>
              <w:jc w:val="right"/>
              <w:rPr>
                <w:rFonts w:ascii="Calibri" w:hAnsi="Calibri" w:cs="Calibri"/>
                <w:color w:val="000000"/>
              </w:rPr>
            </w:pPr>
            <w:r>
              <w:rPr>
                <w:rFonts w:ascii="Calibri" w:hAnsi="Calibri" w:cs="Calibri"/>
                <w:color w:val="000000"/>
              </w:rPr>
              <w:t>67%</w:t>
            </w:r>
          </w:p>
        </w:tc>
        <w:tc>
          <w:tcPr>
            <w:tcW w:w="0" w:type="auto"/>
            <w:tcBorders>
              <w:top w:val="nil"/>
              <w:left w:val="nil"/>
              <w:bottom w:val="nil"/>
              <w:right w:val="nil"/>
            </w:tcBorders>
            <w:shd w:val="clear" w:color="auto" w:fill="auto"/>
            <w:noWrap/>
            <w:vAlign w:val="bottom"/>
            <w:hideMark/>
          </w:tcPr>
          <w:p w14:paraId="5ACEEA02" w14:textId="77777777" w:rsidR="009D3F7E" w:rsidRDefault="009D3F7E">
            <w:pPr>
              <w:jc w:val="right"/>
              <w:rPr>
                <w:rFonts w:ascii="Calibri" w:hAnsi="Calibri" w:cs="Calibri"/>
                <w:color w:val="000000"/>
              </w:rPr>
            </w:pPr>
            <w:r>
              <w:rPr>
                <w:rFonts w:ascii="Calibri" w:hAnsi="Calibri" w:cs="Calibri"/>
                <w:color w:val="000000"/>
              </w:rPr>
              <w:t>88%</w:t>
            </w:r>
          </w:p>
        </w:tc>
      </w:tr>
    </w:tbl>
    <w:p w14:paraId="4A90097E" w14:textId="77777777" w:rsidR="00D134D8" w:rsidRPr="00381631" w:rsidRDefault="00D134D8">
      <w:pPr>
        <w:rPr>
          <w:rFonts w:ascii="Times New Roman" w:hAnsi="Times New Roman" w:cs="Times New Roman"/>
        </w:rPr>
      </w:pPr>
    </w:p>
    <w:sectPr w:rsidR="00D134D8" w:rsidRPr="003816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2127F" w14:textId="77777777" w:rsidR="00782A41" w:rsidRDefault="00782A41" w:rsidP="00782A41">
      <w:pPr>
        <w:spacing w:after="0" w:line="240" w:lineRule="auto"/>
      </w:pPr>
      <w:r>
        <w:separator/>
      </w:r>
    </w:p>
  </w:endnote>
  <w:endnote w:type="continuationSeparator" w:id="0">
    <w:p w14:paraId="02E69EA8" w14:textId="77777777" w:rsidR="00782A41" w:rsidRDefault="00782A41" w:rsidP="0078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2F95" w14:textId="77777777" w:rsidR="00782A41" w:rsidRDefault="00782A41" w:rsidP="00782A41">
      <w:pPr>
        <w:spacing w:after="0" w:line="240" w:lineRule="auto"/>
      </w:pPr>
      <w:r>
        <w:separator/>
      </w:r>
    </w:p>
  </w:footnote>
  <w:footnote w:type="continuationSeparator" w:id="0">
    <w:p w14:paraId="24BD3D47" w14:textId="77777777" w:rsidR="00782A41" w:rsidRDefault="00782A41" w:rsidP="0078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F5FF" w14:textId="2A8400F5" w:rsidR="00CE5C8D" w:rsidRPr="00CE5C8D" w:rsidRDefault="00CE5C8D">
    <w:pPr>
      <w:pStyle w:val="Header"/>
      <w:jc w:val="right"/>
      <w:rPr>
        <w:rFonts w:ascii="Times New Roman" w:hAnsi="Times New Roman" w:cs="Times New Roman"/>
      </w:rPr>
    </w:pPr>
    <w:r w:rsidRPr="00CE5C8D">
      <w:rPr>
        <w:rFonts w:ascii="Times New Roman" w:hAnsi="Times New Roman" w:cs="Times New Roman"/>
      </w:rPr>
      <w:t xml:space="preserve">MARIANI </w:t>
    </w:r>
    <w:sdt>
      <w:sdtPr>
        <w:rPr>
          <w:rFonts w:ascii="Times New Roman" w:hAnsi="Times New Roman" w:cs="Times New Roman"/>
        </w:rPr>
        <w:id w:val="585897163"/>
        <w:docPartObj>
          <w:docPartGallery w:val="Page Numbers (Top of Page)"/>
          <w:docPartUnique/>
        </w:docPartObj>
      </w:sdtPr>
      <w:sdtEndPr>
        <w:rPr>
          <w:noProof/>
        </w:rPr>
      </w:sdtEndPr>
      <w:sdtContent>
        <w:r w:rsidRPr="00CE5C8D">
          <w:rPr>
            <w:rFonts w:ascii="Times New Roman" w:hAnsi="Times New Roman" w:cs="Times New Roman"/>
          </w:rPr>
          <w:fldChar w:fldCharType="begin"/>
        </w:r>
        <w:r w:rsidRPr="00CE5C8D">
          <w:rPr>
            <w:rFonts w:ascii="Times New Roman" w:hAnsi="Times New Roman" w:cs="Times New Roman"/>
          </w:rPr>
          <w:instrText xml:space="preserve"> PAGE   \* MERGEFORMAT </w:instrText>
        </w:r>
        <w:r w:rsidRPr="00CE5C8D">
          <w:rPr>
            <w:rFonts w:ascii="Times New Roman" w:hAnsi="Times New Roman" w:cs="Times New Roman"/>
          </w:rPr>
          <w:fldChar w:fldCharType="separate"/>
        </w:r>
        <w:r w:rsidRPr="00CE5C8D">
          <w:rPr>
            <w:rFonts w:ascii="Times New Roman" w:hAnsi="Times New Roman" w:cs="Times New Roman"/>
            <w:noProof/>
          </w:rPr>
          <w:t>2</w:t>
        </w:r>
        <w:r w:rsidRPr="00CE5C8D">
          <w:rPr>
            <w:rFonts w:ascii="Times New Roman" w:hAnsi="Times New Roman" w:cs="Times New Roman"/>
            <w:noProof/>
          </w:rPr>
          <w:fldChar w:fldCharType="end"/>
        </w:r>
      </w:sdtContent>
    </w:sdt>
  </w:p>
  <w:p w14:paraId="1DD5A6F6" w14:textId="17D8D12A" w:rsidR="00782A41" w:rsidRPr="00CE5C8D" w:rsidRDefault="00782A41" w:rsidP="00782A41">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A5"/>
    <w:rsid w:val="000571FF"/>
    <w:rsid w:val="00103974"/>
    <w:rsid w:val="001A7957"/>
    <w:rsid w:val="001B2675"/>
    <w:rsid w:val="00223CA5"/>
    <w:rsid w:val="00244BA3"/>
    <w:rsid w:val="00265092"/>
    <w:rsid w:val="002A6250"/>
    <w:rsid w:val="002B7B3F"/>
    <w:rsid w:val="002E5F69"/>
    <w:rsid w:val="003142F4"/>
    <w:rsid w:val="00372C80"/>
    <w:rsid w:val="003751B3"/>
    <w:rsid w:val="00381631"/>
    <w:rsid w:val="003F431F"/>
    <w:rsid w:val="00413078"/>
    <w:rsid w:val="00451729"/>
    <w:rsid w:val="00466208"/>
    <w:rsid w:val="00477874"/>
    <w:rsid w:val="004F2914"/>
    <w:rsid w:val="005527E9"/>
    <w:rsid w:val="00586FE5"/>
    <w:rsid w:val="005E0324"/>
    <w:rsid w:val="00625C07"/>
    <w:rsid w:val="00682FA5"/>
    <w:rsid w:val="00683CF6"/>
    <w:rsid w:val="006E2D45"/>
    <w:rsid w:val="00761A73"/>
    <w:rsid w:val="00780D83"/>
    <w:rsid w:val="00782A41"/>
    <w:rsid w:val="007B4B41"/>
    <w:rsid w:val="007C1909"/>
    <w:rsid w:val="007C6938"/>
    <w:rsid w:val="00807C0A"/>
    <w:rsid w:val="008463BE"/>
    <w:rsid w:val="008A3D36"/>
    <w:rsid w:val="00911AAC"/>
    <w:rsid w:val="0092568E"/>
    <w:rsid w:val="009923B3"/>
    <w:rsid w:val="009968CE"/>
    <w:rsid w:val="009A3C28"/>
    <w:rsid w:val="009B7945"/>
    <w:rsid w:val="009D3F7E"/>
    <w:rsid w:val="009E3325"/>
    <w:rsid w:val="009E59B4"/>
    <w:rsid w:val="00A236E2"/>
    <w:rsid w:val="00A534FB"/>
    <w:rsid w:val="00A728ED"/>
    <w:rsid w:val="00A92E19"/>
    <w:rsid w:val="00AB2FC7"/>
    <w:rsid w:val="00AC46ED"/>
    <w:rsid w:val="00AC6CF9"/>
    <w:rsid w:val="00AE2B9B"/>
    <w:rsid w:val="00AF3FDA"/>
    <w:rsid w:val="00B016F8"/>
    <w:rsid w:val="00BD65B4"/>
    <w:rsid w:val="00BF64A5"/>
    <w:rsid w:val="00C04D3C"/>
    <w:rsid w:val="00C26099"/>
    <w:rsid w:val="00C659AA"/>
    <w:rsid w:val="00C8473D"/>
    <w:rsid w:val="00C92724"/>
    <w:rsid w:val="00CA3CAD"/>
    <w:rsid w:val="00CC3AAA"/>
    <w:rsid w:val="00CE244F"/>
    <w:rsid w:val="00CE5C8D"/>
    <w:rsid w:val="00CE7D0D"/>
    <w:rsid w:val="00D02051"/>
    <w:rsid w:val="00D02DD0"/>
    <w:rsid w:val="00D134D8"/>
    <w:rsid w:val="00D447A9"/>
    <w:rsid w:val="00DA1ACC"/>
    <w:rsid w:val="00DB49E9"/>
    <w:rsid w:val="00E747CB"/>
    <w:rsid w:val="00E91F7E"/>
    <w:rsid w:val="00E92C71"/>
    <w:rsid w:val="00EE4E6D"/>
    <w:rsid w:val="00F15BA7"/>
    <w:rsid w:val="00F75B2F"/>
    <w:rsid w:val="00F76C84"/>
    <w:rsid w:val="00F85F5E"/>
    <w:rsid w:val="00FA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1250"/>
  <w15:chartTrackingRefBased/>
  <w15:docId w15:val="{74B92968-BA0C-483D-9328-9D2DB6CE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A41"/>
  </w:style>
  <w:style w:type="paragraph" w:styleId="Footer">
    <w:name w:val="footer"/>
    <w:basedOn w:val="Normal"/>
    <w:link w:val="FooterChar"/>
    <w:uiPriority w:val="99"/>
    <w:unhideWhenUsed/>
    <w:rsid w:val="0078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A41"/>
  </w:style>
  <w:style w:type="character" w:styleId="Hyperlink">
    <w:name w:val="Hyperlink"/>
    <w:basedOn w:val="DefaultParagraphFont"/>
    <w:uiPriority w:val="99"/>
    <w:unhideWhenUsed/>
    <w:rsid w:val="009968CE"/>
    <w:rPr>
      <w:color w:val="0563C1" w:themeColor="hyperlink"/>
      <w:u w:val="single"/>
    </w:rPr>
  </w:style>
  <w:style w:type="character" w:styleId="UnresolvedMention">
    <w:name w:val="Unresolved Mention"/>
    <w:basedOn w:val="DefaultParagraphFont"/>
    <w:uiPriority w:val="99"/>
    <w:semiHidden/>
    <w:unhideWhenUsed/>
    <w:rsid w:val="0099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573586">
      <w:bodyDiv w:val="1"/>
      <w:marLeft w:val="0"/>
      <w:marRight w:val="0"/>
      <w:marTop w:val="0"/>
      <w:marBottom w:val="0"/>
      <w:divBdr>
        <w:top w:val="none" w:sz="0" w:space="0" w:color="auto"/>
        <w:left w:val="none" w:sz="0" w:space="0" w:color="auto"/>
        <w:bottom w:val="none" w:sz="0" w:space="0" w:color="auto"/>
        <w:right w:val="none" w:sz="0" w:space="0" w:color="auto"/>
      </w:divBdr>
    </w:div>
    <w:div w:id="143779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upstate.com/story/news/2020/08/18/keurig-plant-spartanburg-sc-construction-delayed-because-covid-19/339112200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point72-my.sharepoint.com/personal/zach_mariani_point72_com/Documents/Zach%20MARIANI%20KD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Appliance Revenue</a:t>
            </a:r>
            <a:r>
              <a:rPr lang="en-US" baseline="0"/>
              <a:t> </a:t>
            </a:r>
            <a:r>
              <a:rPr lang="en-US"/>
              <a:t>vs Coffee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Figures!$C$13</c:f>
              <c:strCache>
                <c:ptCount val="1"/>
                <c:pt idx="0">
                  <c:v>Appliance, Revenue </c:v>
                </c:pt>
              </c:strCache>
            </c:strRef>
          </c:tx>
          <c:spPr>
            <a:solidFill>
              <a:schemeClr val="accent2"/>
            </a:solidFill>
            <a:ln>
              <a:noFill/>
            </a:ln>
            <a:effectLst/>
          </c:spPr>
          <c:invertIfNegative val="0"/>
          <c:cat>
            <c:strRef>
              <c:f>Figures!$D$3:$Y$3</c:f>
              <c:strCache>
                <c:ptCount val="22"/>
                <c:pt idx="0">
                  <c:v>Q1-FY2018</c:v>
                </c:pt>
                <c:pt idx="1">
                  <c:v>Q2-FY2018</c:v>
                </c:pt>
                <c:pt idx="2">
                  <c:v>Q3-FY2018</c:v>
                </c:pt>
                <c:pt idx="3">
                  <c:v>Q4-FY2018</c:v>
                </c:pt>
                <c:pt idx="4">
                  <c:v>Q1-FY2019</c:v>
                </c:pt>
                <c:pt idx="5">
                  <c:v>Q2-FY2019</c:v>
                </c:pt>
                <c:pt idx="6">
                  <c:v>Q3-FY2019</c:v>
                </c:pt>
                <c:pt idx="7">
                  <c:v>Q4-FY2019</c:v>
                </c:pt>
                <c:pt idx="8">
                  <c:v>Q1-FY2020</c:v>
                </c:pt>
                <c:pt idx="9">
                  <c:v>Q2-FY2020</c:v>
                </c:pt>
                <c:pt idx="10">
                  <c:v>Q3-FY2020</c:v>
                </c:pt>
                <c:pt idx="11">
                  <c:v>Q4-FY2020</c:v>
                </c:pt>
                <c:pt idx="12">
                  <c:v>Q1-FY2021</c:v>
                </c:pt>
                <c:pt idx="13">
                  <c:v>Q2-FY2021</c:v>
                </c:pt>
                <c:pt idx="14">
                  <c:v>Q3-FY2021</c:v>
                </c:pt>
                <c:pt idx="15">
                  <c:v>Q4-FY2021</c:v>
                </c:pt>
                <c:pt idx="16">
                  <c:v>Q1-FY2022</c:v>
                </c:pt>
                <c:pt idx="17">
                  <c:v>Q2-FY2022</c:v>
                </c:pt>
                <c:pt idx="18">
                  <c:v>Q3-FY2022</c:v>
                </c:pt>
                <c:pt idx="19">
                  <c:v>Q4-FY2022</c:v>
                </c:pt>
                <c:pt idx="20">
                  <c:v>Q1-FY2023</c:v>
                </c:pt>
                <c:pt idx="21">
                  <c:v>Q2-FY2023</c:v>
                </c:pt>
              </c:strCache>
            </c:strRef>
          </c:cat>
          <c:val>
            <c:numRef>
              <c:f>Figures!$D$13:$Y$13</c:f>
              <c:numCache>
                <c:formatCode>#,##0_);\(#,##0\)</c:formatCode>
                <c:ptCount val="22"/>
                <c:pt idx="0">
                  <c:v>101</c:v>
                </c:pt>
                <c:pt idx="1">
                  <c:v>131</c:v>
                </c:pt>
                <c:pt idx="2">
                  <c:v>171</c:v>
                </c:pt>
                <c:pt idx="3">
                  <c:v>240</c:v>
                </c:pt>
                <c:pt idx="4">
                  <c:v>123</c:v>
                </c:pt>
                <c:pt idx="5">
                  <c:v>154</c:v>
                </c:pt>
                <c:pt idx="6">
                  <c:v>187</c:v>
                </c:pt>
                <c:pt idx="7">
                  <c:v>259</c:v>
                </c:pt>
                <c:pt idx="8">
                  <c:v>127</c:v>
                </c:pt>
                <c:pt idx="9">
                  <c:v>173</c:v>
                </c:pt>
                <c:pt idx="10">
                  <c:v>230</c:v>
                </c:pt>
                <c:pt idx="11">
                  <c:v>320</c:v>
                </c:pt>
                <c:pt idx="12">
                  <c:v>174</c:v>
                </c:pt>
                <c:pt idx="13">
                  <c:v>210</c:v>
                </c:pt>
                <c:pt idx="14">
                  <c:v>243</c:v>
                </c:pt>
                <c:pt idx="15">
                  <c:v>280</c:v>
                </c:pt>
                <c:pt idx="16">
                  <c:v>178</c:v>
                </c:pt>
                <c:pt idx="17">
                  <c:v>217</c:v>
                </c:pt>
                <c:pt idx="18">
                  <c:v>225</c:v>
                </c:pt>
                <c:pt idx="19">
                  <c:v>336</c:v>
                </c:pt>
                <c:pt idx="20">
                  <c:v>137</c:v>
                </c:pt>
                <c:pt idx="21">
                  <c:v>190</c:v>
                </c:pt>
              </c:numCache>
            </c:numRef>
          </c:val>
          <c:extLst>
            <c:ext xmlns:c16="http://schemas.microsoft.com/office/drawing/2014/chart" uri="{C3380CC4-5D6E-409C-BE32-E72D297353CC}">
              <c16:uniqueId val="{00000000-CCC1-4F73-9200-4AD566DB0105}"/>
            </c:ext>
          </c:extLst>
        </c:ser>
        <c:dLbls>
          <c:showLegendKey val="0"/>
          <c:showVal val="0"/>
          <c:showCatName val="0"/>
          <c:showSerName val="0"/>
          <c:showPercent val="0"/>
          <c:showBubbleSize val="0"/>
        </c:dLbls>
        <c:gapWidth val="219"/>
        <c:axId val="645300815"/>
        <c:axId val="632662559"/>
      </c:barChart>
      <c:lineChart>
        <c:grouping val="standard"/>
        <c:varyColors val="0"/>
        <c:ser>
          <c:idx val="0"/>
          <c:order val="0"/>
          <c:tx>
            <c:strRef>
              <c:f>Figures!$C$11</c:f>
              <c:strCache>
                <c:ptCount val="1"/>
                <c:pt idx="0">
                  <c:v>Appliance Rev over Coffee Rev</c:v>
                </c:pt>
              </c:strCache>
            </c:strRef>
          </c:tx>
          <c:spPr>
            <a:ln w="28575" cap="rnd">
              <a:solidFill>
                <a:schemeClr val="accent1"/>
              </a:solidFill>
              <a:round/>
            </a:ln>
            <a:effectLst/>
          </c:spPr>
          <c:marker>
            <c:symbol val="none"/>
          </c:marker>
          <c:cat>
            <c:strRef>
              <c:f>Figures!$D$3:$Y$3</c:f>
              <c:strCache>
                <c:ptCount val="22"/>
                <c:pt idx="0">
                  <c:v>Q1-FY2018</c:v>
                </c:pt>
                <c:pt idx="1">
                  <c:v>Q2-FY2018</c:v>
                </c:pt>
                <c:pt idx="2">
                  <c:v>Q3-FY2018</c:v>
                </c:pt>
                <c:pt idx="3">
                  <c:v>Q4-FY2018</c:v>
                </c:pt>
                <c:pt idx="4">
                  <c:v>Q1-FY2019</c:v>
                </c:pt>
                <c:pt idx="5">
                  <c:v>Q2-FY2019</c:v>
                </c:pt>
                <c:pt idx="6">
                  <c:v>Q3-FY2019</c:v>
                </c:pt>
                <c:pt idx="7">
                  <c:v>Q4-FY2019</c:v>
                </c:pt>
                <c:pt idx="8">
                  <c:v>Q1-FY2020</c:v>
                </c:pt>
                <c:pt idx="9">
                  <c:v>Q2-FY2020</c:v>
                </c:pt>
                <c:pt idx="10">
                  <c:v>Q3-FY2020</c:v>
                </c:pt>
                <c:pt idx="11">
                  <c:v>Q4-FY2020</c:v>
                </c:pt>
                <c:pt idx="12">
                  <c:v>Q1-FY2021</c:v>
                </c:pt>
                <c:pt idx="13">
                  <c:v>Q2-FY2021</c:v>
                </c:pt>
                <c:pt idx="14">
                  <c:v>Q3-FY2021</c:v>
                </c:pt>
                <c:pt idx="15">
                  <c:v>Q4-FY2021</c:v>
                </c:pt>
                <c:pt idx="16">
                  <c:v>Q1-FY2022</c:v>
                </c:pt>
                <c:pt idx="17">
                  <c:v>Q2-FY2022</c:v>
                </c:pt>
                <c:pt idx="18">
                  <c:v>Q3-FY2022</c:v>
                </c:pt>
                <c:pt idx="19">
                  <c:v>Q4-FY2022</c:v>
                </c:pt>
                <c:pt idx="20">
                  <c:v>Q1-FY2023</c:v>
                </c:pt>
                <c:pt idx="21">
                  <c:v>Q2-FY2023</c:v>
                </c:pt>
              </c:strCache>
            </c:strRef>
          </c:cat>
          <c:val>
            <c:numRef>
              <c:f>Figures!$H$11:$Y$11</c:f>
              <c:numCache>
                <c:formatCode>0.0%</c:formatCode>
                <c:ptCount val="18"/>
                <c:pt idx="0">
                  <c:v>0.13427947598253276</c:v>
                </c:pt>
                <c:pt idx="1">
                  <c:v>0.16435432230522945</c:v>
                </c:pt>
                <c:pt idx="2">
                  <c:v>0.18496538081107813</c:v>
                </c:pt>
                <c:pt idx="3">
                  <c:v>0.2248263888888889</c:v>
                </c:pt>
                <c:pt idx="4">
                  <c:v>0.1383442265795207</c:v>
                </c:pt>
                <c:pt idx="5">
                  <c:v>0.17248255234297108</c:v>
                </c:pt>
                <c:pt idx="6">
                  <c:v>0.22072936660268713</c:v>
                </c:pt>
                <c:pt idx="7">
                  <c:v>0.25477707006369427</c:v>
                </c:pt>
                <c:pt idx="8">
                  <c:v>0.16155988857938719</c:v>
                </c:pt>
                <c:pt idx="9">
                  <c:v>0.20172910662824209</c:v>
                </c:pt>
                <c:pt idx="10">
                  <c:v>0.22273143904674611</c:v>
                </c:pt>
                <c:pt idx="11">
                  <c:v>0.22508038585209003</c:v>
                </c:pt>
                <c:pt idx="12">
                  <c:v>0.17231364956437561</c:v>
                </c:pt>
                <c:pt idx="13">
                  <c:v>0.19306049822064056</c:v>
                </c:pt>
                <c:pt idx="14">
                  <c:v>0.1977152899824253</c:v>
                </c:pt>
                <c:pt idx="15">
                  <c:v>0.23447313328681088</c:v>
                </c:pt>
                <c:pt idx="16">
                  <c:v>0.13365853658536586</c:v>
                </c:pt>
                <c:pt idx="17">
                  <c:v>0.17941454202077431</c:v>
                </c:pt>
              </c:numCache>
            </c:numRef>
          </c:val>
          <c:smooth val="0"/>
          <c:extLst>
            <c:ext xmlns:c16="http://schemas.microsoft.com/office/drawing/2014/chart" uri="{C3380CC4-5D6E-409C-BE32-E72D297353CC}">
              <c16:uniqueId val="{00000001-CCC1-4F73-9200-4AD566DB0105}"/>
            </c:ext>
          </c:extLst>
        </c:ser>
        <c:dLbls>
          <c:showLegendKey val="0"/>
          <c:showVal val="0"/>
          <c:showCatName val="0"/>
          <c:showSerName val="0"/>
          <c:showPercent val="0"/>
          <c:showBubbleSize val="0"/>
        </c:dLbls>
        <c:marker val="1"/>
        <c:smooth val="0"/>
        <c:axId val="654663055"/>
        <c:axId val="662371471"/>
      </c:lineChart>
      <c:catAx>
        <c:axId val="65466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371471"/>
        <c:crosses val="autoZero"/>
        <c:auto val="1"/>
        <c:lblAlgn val="ctr"/>
        <c:lblOffset val="100"/>
        <c:noMultiLvlLbl val="0"/>
      </c:catAx>
      <c:valAx>
        <c:axId val="66237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Appliance Revenue as a Percentage of Total</a:t>
                </a:r>
                <a:r>
                  <a:rPr lang="en-US" baseline="0"/>
                  <a:t> Coffee (Pod + Appliance) Revenue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663055"/>
        <c:crosses val="autoZero"/>
        <c:crossBetween val="between"/>
      </c:valAx>
      <c:valAx>
        <c:axId val="63266255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Appliance 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00815"/>
        <c:crosses val="max"/>
        <c:crossBetween val="between"/>
      </c:valAx>
      <c:catAx>
        <c:axId val="645300815"/>
        <c:scaling>
          <c:orientation val="minMax"/>
        </c:scaling>
        <c:delete val="1"/>
        <c:axPos val="b"/>
        <c:numFmt formatCode="General" sourceLinked="1"/>
        <c:majorTickMark val="out"/>
        <c:minorTickMark val="none"/>
        <c:tickLblPos val="nextTo"/>
        <c:crossAx val="632662559"/>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1327</Words>
  <Characters>7567</Characters>
  <Application>Microsoft Office Word</Application>
  <DocSecurity>0</DocSecurity>
  <Lines>63</Lines>
  <Paragraphs>17</Paragraphs>
  <ScaleCrop>false</ScaleCrop>
  <Company>Point72 Asset Management</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Zach</dc:creator>
  <cp:keywords/>
  <dc:description/>
  <cp:lastModifiedBy>Mariani, Zach</cp:lastModifiedBy>
  <cp:revision>79</cp:revision>
  <dcterms:created xsi:type="dcterms:W3CDTF">2023-08-29T15:38:00Z</dcterms:created>
  <dcterms:modified xsi:type="dcterms:W3CDTF">2023-08-29T21:50:00Z</dcterms:modified>
</cp:coreProperties>
</file>