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w:t>
      </w:r>
      <w:proofErr w:type="gramStart"/>
      <w:r w:rsidR="00075AA1">
        <w:rPr>
          <w:rFonts w:ascii="Segoe UI" w:hAnsi="Segoe UI" w:cs="Segoe UI"/>
          <w:color w:val="666666"/>
          <w:sz w:val="24"/>
          <w:szCs w:val="24"/>
        </w:rPr>
        <w:t>Volume)  and</w:t>
      </w:r>
      <w:proofErr w:type="gramEnd"/>
      <w:r w:rsidR="00075AA1">
        <w:rPr>
          <w:rFonts w:ascii="Segoe UI" w:hAnsi="Segoe UI" w:cs="Segoe UI"/>
          <w:color w:val="666666"/>
          <w:sz w:val="24"/>
          <w:szCs w:val="24"/>
        </w:rPr>
        <w:t xml:space="preserve"> data from COT report.  </w:t>
      </w:r>
      <w:r w:rsidR="007F0173" w:rsidRPr="007F0173">
        <w:rPr>
          <w:rFonts w:ascii="Segoe UI" w:hAnsi="Segoe UI" w:cs="Segoe UI"/>
          <w:color w:val="666666"/>
          <w:sz w:val="24"/>
          <w:szCs w:val="24"/>
        </w:rPr>
        <w:t xml:space="preserve">Classical neural networks called Multilayer </w:t>
      </w:r>
      <w:proofErr w:type="spellStart"/>
      <w:r w:rsidR="007F0173" w:rsidRPr="007F0173">
        <w:rPr>
          <w:rFonts w:ascii="Segoe UI" w:hAnsi="Segoe UI" w:cs="Segoe UI"/>
          <w:color w:val="666666"/>
          <w:sz w:val="24"/>
          <w:szCs w:val="24"/>
        </w:rPr>
        <w:t>Perceptrons</w:t>
      </w:r>
      <w:proofErr w:type="spellEnd"/>
      <w:r w:rsidR="007F0173" w:rsidRPr="007F0173">
        <w:rPr>
          <w:rFonts w:ascii="Segoe UI" w:hAnsi="Segoe UI" w:cs="Segoe UI"/>
          <w:color w:val="666666"/>
          <w:sz w:val="24"/>
          <w:szCs w:val="24"/>
        </w:rPr>
        <w:t>,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w:t>
      </w:r>
      <w:proofErr w:type="gramStart"/>
      <w:r w:rsidR="00075AA1">
        <w:rPr>
          <w:rFonts w:ascii="Segoe UI" w:hAnsi="Segoe UI" w:cs="Segoe UI"/>
          <w:color w:val="666666"/>
          <w:sz w:val="24"/>
          <w:szCs w:val="24"/>
        </w:rPr>
        <w:t>predictions  ,</w:t>
      </w:r>
      <w:proofErr w:type="gramEnd"/>
      <w:r w:rsidR="00075AA1">
        <w:rPr>
          <w:rFonts w:ascii="Segoe UI" w:hAnsi="Segoe UI" w:cs="Segoe UI"/>
          <w:color w:val="666666"/>
          <w:sz w:val="24"/>
          <w:szCs w:val="24"/>
        </w:rPr>
        <w:t xml:space="preserve"> </w:t>
      </w:r>
      <w:r w:rsidR="00273519" w:rsidRPr="00273519">
        <w:rPr>
          <w:rFonts w:ascii="Segoe UI" w:hAnsi="Segoe UI" w:cs="Segoe UI"/>
          <w:color w:val="666666"/>
          <w:sz w:val="24"/>
          <w:szCs w:val="24"/>
        </w:rPr>
        <w:t xml:space="preserve">I will use </w:t>
      </w:r>
      <w:proofErr w:type="spellStart"/>
      <w:r w:rsidR="00273519" w:rsidRPr="00273519">
        <w:rPr>
          <w:rFonts w:ascii="Segoe UI" w:hAnsi="Segoe UI" w:cs="Segoe UI"/>
          <w:color w:val="666666"/>
          <w:sz w:val="24"/>
          <w:szCs w:val="24"/>
        </w:rPr>
        <w:t>Keras</w:t>
      </w:r>
      <w:proofErr w:type="spellEnd"/>
      <w:r w:rsidR="00273519" w:rsidRPr="00273519">
        <w:rPr>
          <w:rFonts w:ascii="Segoe UI" w:hAnsi="Segoe UI" w:cs="Segoe UI"/>
          <w:color w:val="666666"/>
          <w:sz w:val="24"/>
          <w:szCs w:val="24"/>
        </w:rPr>
        <w:t xml:space="preserve">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 In order to perform this prediction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proofErr w:type="gramStart"/>
      <w:r w:rsidR="005050A1" w:rsidRPr="00807B10">
        <w:rPr>
          <w:rFonts w:ascii="Segoe UI" w:hAnsi="Segoe UI" w:cs="Segoe UI"/>
          <w:color w:val="222222"/>
          <w:sz w:val="24"/>
          <w:szCs w:val="24"/>
        </w:rPr>
        <w:t>Users(</w:t>
      </w:r>
      <w:proofErr w:type="gramEnd"/>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 and by using this dataset we will try to predict next week’s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 Why do </w:t>
      </w:r>
      <w:r>
        <w:rPr>
          <w:rFonts w:ascii="Segoe UI" w:hAnsi="Segoe UI" w:cs="Segoe UI"/>
          <w:color w:val="222222"/>
          <w:sz w:val="24"/>
          <w:szCs w:val="24"/>
        </w:rPr>
        <w:t xml:space="preserve">we need to complicate our model and add additional data from COT report instead of just using Pricing </w:t>
      </w:r>
      <w:r w:rsidR="005050A1">
        <w:rPr>
          <w:rFonts w:ascii="Segoe UI" w:hAnsi="Segoe UI" w:cs="Segoe UI"/>
          <w:color w:val="222222"/>
          <w:sz w:val="24"/>
          <w:szCs w:val="24"/>
        </w:rPr>
        <w:t>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 xml:space="preserve">For this project I will use a Long </w:t>
      </w:r>
      <w:proofErr w:type="gramStart"/>
      <w:r w:rsidR="007A7727" w:rsidRPr="007A7727">
        <w:rPr>
          <w:rFonts w:ascii="Segoe UI" w:hAnsi="Segoe UI" w:cs="Segoe UI"/>
          <w:sz w:val="24"/>
          <w:szCs w:val="24"/>
        </w:rPr>
        <w:t>Short</w:t>
      </w:r>
      <w:r w:rsidR="007A7727">
        <w:rPr>
          <w:rFonts w:ascii="Segoe UI" w:hAnsi="Segoe UI" w:cs="Segoe UI"/>
          <w:sz w:val="24"/>
          <w:szCs w:val="24"/>
        </w:rPr>
        <w:t xml:space="preserve"> </w:t>
      </w:r>
      <w:r w:rsidR="007A7727" w:rsidRPr="007A7727">
        <w:rPr>
          <w:rFonts w:ascii="Segoe UI" w:hAnsi="Segoe UI" w:cs="Segoe UI"/>
          <w:sz w:val="24"/>
          <w:szCs w:val="24"/>
        </w:rPr>
        <w:t>Term</w:t>
      </w:r>
      <w:proofErr w:type="gramEnd"/>
      <w:r w:rsidR="007A7727" w:rsidRPr="007A7727">
        <w:rPr>
          <w:rFonts w:ascii="Segoe UI" w:hAnsi="Segoe UI" w:cs="Segoe UI"/>
          <w:sz w:val="24"/>
          <w:szCs w:val="24"/>
        </w:rPr>
        <w:t xml:space="preserve">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Benchmark model we will evaluate on the validation dataset.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lastRenderedPageBreak/>
        <w:t xml:space="preserve"> Analysis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7"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C72666">
            <w:pPr>
              <w:keepNext/>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C72666" w:rsidRDefault="00C72666" w:rsidP="00C72666">
      <w:pPr>
        <w:pStyle w:val="Caption"/>
        <w:jc w:val="center"/>
        <w:rPr>
          <w:rFonts w:ascii="Segoe UI" w:hAnsi="Segoe UI" w:cs="Segoe UI"/>
          <w:color w:val="666666"/>
          <w:sz w:val="24"/>
          <w:szCs w:val="24"/>
        </w:rPr>
      </w:pPr>
      <w:r w:rsidRPr="00C72666">
        <w:rPr>
          <w:sz w:val="24"/>
          <w:szCs w:val="24"/>
        </w:rPr>
        <w:t xml:space="preserve">Table </w:t>
      </w:r>
      <w:r w:rsidRPr="00C72666">
        <w:rPr>
          <w:sz w:val="24"/>
          <w:szCs w:val="24"/>
        </w:rPr>
        <w:fldChar w:fldCharType="begin"/>
      </w:r>
      <w:r w:rsidRPr="00C72666">
        <w:rPr>
          <w:sz w:val="24"/>
          <w:szCs w:val="24"/>
        </w:rPr>
        <w:instrText xml:space="preserve"> SEQ Table \* ARABIC </w:instrText>
      </w:r>
      <w:r w:rsidRPr="00C72666">
        <w:rPr>
          <w:sz w:val="24"/>
          <w:szCs w:val="24"/>
        </w:rPr>
        <w:fldChar w:fldCharType="separate"/>
      </w:r>
      <w:r w:rsidR="00B40819">
        <w:rPr>
          <w:noProof/>
          <w:sz w:val="24"/>
          <w:szCs w:val="24"/>
        </w:rPr>
        <w:t>1</w:t>
      </w:r>
      <w:r w:rsidRPr="00C72666">
        <w:rPr>
          <w:sz w:val="24"/>
          <w:szCs w:val="24"/>
        </w:rPr>
        <w:fldChar w:fldCharType="end"/>
      </w: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r w:rsidR="002B2E62">
        <w:rPr>
          <w:rFonts w:ascii="Segoe UI" w:hAnsi="Segoe UI" w:cs="Segoe UI"/>
          <w:sz w:val="24"/>
          <w:szCs w:val="24"/>
        </w:rPr>
        <w:t>below</w:t>
      </w:r>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C72666">
            <w:pPr>
              <w:keepNext/>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Pr="00C72666" w:rsidRDefault="00C72666" w:rsidP="00C72666">
      <w:pPr>
        <w:pStyle w:val="Caption"/>
        <w:jc w:val="center"/>
        <w:rPr>
          <w:rFonts w:ascii="Segoe UI" w:hAnsi="Segoe UI" w:cs="Segoe UI"/>
          <w:sz w:val="24"/>
          <w:szCs w:val="24"/>
        </w:rPr>
      </w:pPr>
      <w:r w:rsidRPr="00C72666">
        <w:rPr>
          <w:sz w:val="24"/>
          <w:szCs w:val="24"/>
        </w:rPr>
        <w:t xml:space="preserve">Table </w:t>
      </w:r>
      <w:r w:rsidRPr="00C72666">
        <w:rPr>
          <w:sz w:val="24"/>
          <w:szCs w:val="24"/>
        </w:rPr>
        <w:fldChar w:fldCharType="begin"/>
      </w:r>
      <w:r w:rsidRPr="00C72666">
        <w:rPr>
          <w:sz w:val="24"/>
          <w:szCs w:val="24"/>
        </w:rPr>
        <w:instrText xml:space="preserve"> SEQ Table \* ARABIC </w:instrText>
      </w:r>
      <w:r w:rsidRPr="00C72666">
        <w:rPr>
          <w:sz w:val="24"/>
          <w:szCs w:val="24"/>
        </w:rPr>
        <w:fldChar w:fldCharType="separate"/>
      </w:r>
      <w:r w:rsidR="00B40819">
        <w:rPr>
          <w:noProof/>
          <w:sz w:val="24"/>
          <w:szCs w:val="24"/>
        </w:rPr>
        <w:t>2</w:t>
      </w:r>
      <w:r w:rsidRPr="00C72666">
        <w:rPr>
          <w:sz w:val="24"/>
          <w:szCs w:val="24"/>
        </w:rPr>
        <w:fldChar w:fldCharType="end"/>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C72666">
            <w:pPr>
              <w:keepNext/>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C72666" w:rsidRDefault="00C72666" w:rsidP="00C72666">
      <w:pPr>
        <w:pStyle w:val="Caption"/>
        <w:jc w:val="center"/>
        <w:rPr>
          <w:rFonts w:ascii="Segoe UI" w:hAnsi="Segoe UI" w:cs="Segoe UI"/>
          <w:sz w:val="24"/>
          <w:szCs w:val="24"/>
        </w:rPr>
      </w:pPr>
      <w:r w:rsidRPr="00C72666">
        <w:rPr>
          <w:sz w:val="24"/>
          <w:szCs w:val="24"/>
        </w:rPr>
        <w:t xml:space="preserve">Table </w:t>
      </w:r>
      <w:r w:rsidRPr="00C72666">
        <w:rPr>
          <w:sz w:val="24"/>
          <w:szCs w:val="24"/>
        </w:rPr>
        <w:fldChar w:fldCharType="begin"/>
      </w:r>
      <w:r w:rsidRPr="00C72666">
        <w:rPr>
          <w:sz w:val="24"/>
          <w:szCs w:val="24"/>
        </w:rPr>
        <w:instrText xml:space="preserve"> SEQ Table \* ARABIC </w:instrText>
      </w:r>
      <w:r w:rsidRPr="00C72666">
        <w:rPr>
          <w:sz w:val="24"/>
          <w:szCs w:val="24"/>
        </w:rPr>
        <w:fldChar w:fldCharType="separate"/>
      </w:r>
      <w:r w:rsidR="00B40819">
        <w:rPr>
          <w:noProof/>
          <w:sz w:val="24"/>
          <w:szCs w:val="24"/>
        </w:rPr>
        <w:t>3</w:t>
      </w:r>
      <w:r w:rsidRPr="00C72666">
        <w:rPr>
          <w:sz w:val="24"/>
          <w:szCs w:val="24"/>
        </w:rPr>
        <w:fldChar w:fldCharType="end"/>
      </w: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w:t>
      </w:r>
      <w:r w:rsidR="00A22F41">
        <w:rPr>
          <w:rFonts w:ascii="Segoe UI" w:hAnsi="Segoe UI" w:cs="Segoe UI"/>
          <w:sz w:val="24"/>
          <w:szCs w:val="24"/>
        </w:rPr>
        <w:t>am planning</w:t>
      </w:r>
      <w:r>
        <w:rPr>
          <w:rFonts w:ascii="Segoe UI" w:hAnsi="Segoe UI" w:cs="Segoe UI"/>
          <w:sz w:val="24"/>
          <w:szCs w:val="24"/>
        </w:rPr>
        <w:t xml:space="preserve"> to resample this daily data to weekly </w:t>
      </w:r>
      <w:proofErr w:type="gramStart"/>
      <w:r>
        <w:rPr>
          <w:rFonts w:ascii="Segoe UI" w:hAnsi="Segoe UI" w:cs="Segoe UI"/>
          <w:sz w:val="24"/>
          <w:szCs w:val="24"/>
        </w:rPr>
        <w:t>data(</w:t>
      </w:r>
      <w:proofErr w:type="gramEnd"/>
      <w:r>
        <w:rPr>
          <w:rFonts w:ascii="Segoe UI" w:hAnsi="Segoe UI" w:cs="Segoe UI"/>
          <w:sz w:val="24"/>
          <w:szCs w:val="24"/>
        </w:rPr>
        <w:t xml:space="preserve">reasons are explained in data preparation section ), I will remove </w:t>
      </w:r>
      <w:r w:rsidR="00F90778">
        <w:rPr>
          <w:rFonts w:ascii="Segoe UI" w:hAnsi="Segoe UI" w:cs="Segoe UI"/>
          <w:sz w:val="24"/>
          <w:szCs w:val="24"/>
        </w:rPr>
        <w:t>these records from the final data set, and this removal should ne play a big impact on final resampled dataset .</w:t>
      </w:r>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D4457B" w:rsidRPr="002B2E62" w:rsidRDefault="00B3263E" w:rsidP="00D4457B">
      <w:pPr>
        <w:autoSpaceDE w:val="0"/>
        <w:autoSpaceDN w:val="0"/>
        <w:adjustRightInd w:val="0"/>
        <w:spacing w:after="0" w:line="240" w:lineRule="auto"/>
        <w:rPr>
          <w:rFonts w:ascii="Segoe UI" w:hAnsi="Segoe UI" w:cs="Segoe UI"/>
          <w:b/>
          <w:sz w:val="24"/>
          <w:szCs w:val="24"/>
        </w:rPr>
      </w:pPr>
      <w:r w:rsidRPr="002B2E62">
        <w:rPr>
          <w:rFonts w:ascii="Segoe UI" w:hAnsi="Segoe UI" w:cs="Segoe UI"/>
          <w:b/>
          <w:sz w:val="24"/>
          <w:szCs w:val="24"/>
        </w:rPr>
        <w:t xml:space="preserve">The </w:t>
      </w:r>
      <w:r w:rsidR="007F585A" w:rsidRPr="002B2E62">
        <w:rPr>
          <w:rFonts w:ascii="Segoe UI" w:hAnsi="Segoe UI" w:cs="Segoe UI"/>
          <w:b/>
          <w:sz w:val="24"/>
          <w:szCs w:val="24"/>
        </w:rPr>
        <w:t xml:space="preserve">second data </w:t>
      </w:r>
      <w:r w:rsidR="002B2E62" w:rsidRPr="002B2E62">
        <w:rPr>
          <w:rFonts w:ascii="Segoe UI" w:hAnsi="Segoe UI" w:cs="Segoe UI"/>
          <w:b/>
          <w:sz w:val="24"/>
          <w:szCs w:val="24"/>
        </w:rPr>
        <w:t>set (</w:t>
      </w:r>
      <w:bookmarkStart w:id="1" w:name="_Hlk521845260"/>
      <w:r w:rsidR="007F585A" w:rsidRPr="002B2E62">
        <w:rPr>
          <w:rFonts w:ascii="Segoe UI" w:hAnsi="Segoe UI" w:cs="Segoe UI"/>
          <w:b/>
          <w:sz w:val="24"/>
          <w:szCs w:val="24"/>
        </w:rPr>
        <w:t>C</w:t>
      </w:r>
      <w:r w:rsidRPr="002B2E62">
        <w:rPr>
          <w:rFonts w:ascii="Segoe UI" w:hAnsi="Segoe UI" w:cs="Segoe UI"/>
          <w:b/>
          <w:sz w:val="24"/>
          <w:szCs w:val="24"/>
        </w:rPr>
        <w:t xml:space="preserve">ommitments of Traders </w:t>
      </w:r>
      <w:r w:rsidR="002B2E62" w:rsidRPr="002B2E62">
        <w:rPr>
          <w:rFonts w:ascii="Segoe UI" w:hAnsi="Segoe UI" w:cs="Segoe UI"/>
          <w:b/>
          <w:sz w:val="24"/>
          <w:szCs w:val="24"/>
        </w:rPr>
        <w:t>Report</w:t>
      </w:r>
      <w:bookmarkEnd w:id="1"/>
      <w:r w:rsidR="002B2E62" w:rsidRPr="002B2E62">
        <w:rPr>
          <w:rFonts w:ascii="Segoe UI" w:hAnsi="Segoe UI" w:cs="Segoe UI"/>
          <w:b/>
          <w:sz w:val="24"/>
          <w:szCs w:val="24"/>
        </w:rPr>
        <w:t>)</w:t>
      </w:r>
      <w:r w:rsidRPr="002B2E62">
        <w:rPr>
          <w:rFonts w:ascii="Segoe UI" w:hAnsi="Segoe UI" w:cs="Segoe UI"/>
          <w:b/>
          <w:sz w:val="24"/>
          <w:szCs w:val="24"/>
        </w:rPr>
        <w:t xml:space="preserve"> has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 Producer Merchant Processor User Shorts, Swap Dealer Longs, Swap Dealer Shorts, Swap Dealer Spreads, Money Manager Longs, Money Manager Shorts, Money Manager Spreads, Other Reportable Longs, Other Reportable Shorts, Other Reportable Spreads, Total Reportable Longs,</w:t>
      </w:r>
      <w:r w:rsidRPr="00B3263E">
        <w:rPr>
          <w:rFonts w:ascii="Segoe UI" w:hAnsi="Segoe UI" w:cs="Segoe UI"/>
          <w:i/>
          <w:sz w:val="24"/>
          <w:szCs w:val="24"/>
        </w:rPr>
        <w:tab/>
        <w:t>Total Reportable Shorts, Non-Reportable Longs, Non-Reportable Shorts.</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40819">
            <w:pPr>
              <w:keepNext/>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Pr="00B40819" w:rsidRDefault="00B40819" w:rsidP="00B40819">
      <w:pPr>
        <w:pStyle w:val="Caption"/>
        <w:jc w:val="center"/>
        <w:rPr>
          <w:rFonts w:ascii="Segoe UI" w:hAnsi="Segoe UI" w:cs="Segoe UI"/>
          <w:color w:val="666666"/>
          <w:sz w:val="24"/>
          <w:szCs w:val="24"/>
        </w:rPr>
      </w:pPr>
      <w:r w:rsidRPr="00B40819">
        <w:rPr>
          <w:sz w:val="24"/>
          <w:szCs w:val="24"/>
        </w:rPr>
        <w:t xml:space="preserve">Table </w:t>
      </w:r>
      <w:r w:rsidRPr="00B40819">
        <w:rPr>
          <w:sz w:val="24"/>
          <w:szCs w:val="24"/>
        </w:rPr>
        <w:fldChar w:fldCharType="begin"/>
      </w:r>
      <w:r w:rsidRPr="00B40819">
        <w:rPr>
          <w:sz w:val="24"/>
          <w:szCs w:val="24"/>
        </w:rPr>
        <w:instrText xml:space="preserve"> SEQ Table \* ARABIC </w:instrText>
      </w:r>
      <w:r w:rsidRPr="00B40819">
        <w:rPr>
          <w:sz w:val="24"/>
          <w:szCs w:val="24"/>
        </w:rPr>
        <w:fldChar w:fldCharType="separate"/>
      </w:r>
      <w:r>
        <w:rPr>
          <w:noProof/>
          <w:sz w:val="24"/>
          <w:szCs w:val="24"/>
        </w:rPr>
        <w:t>4</w:t>
      </w:r>
      <w:r w:rsidRPr="00B40819">
        <w:rPr>
          <w:sz w:val="24"/>
          <w:szCs w:val="24"/>
        </w:rPr>
        <w:fldChar w:fldCharType="end"/>
      </w:r>
    </w:p>
    <w:p w:rsidR="002B2E62" w:rsidRDefault="002B2E62" w:rsidP="002B2E6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2B2E62">
        <w:rPr>
          <w:rFonts w:ascii="Segoe UI" w:hAnsi="Segoe UI" w:cs="Segoe UI"/>
          <w:sz w:val="24"/>
          <w:szCs w:val="24"/>
        </w:rPr>
        <w:t xml:space="preserve">Commitments of Traders Report </w:t>
      </w:r>
      <w:r>
        <w:rPr>
          <w:rFonts w:ascii="Segoe UI" w:hAnsi="Segoe UI" w:cs="Segoe UI"/>
          <w:sz w:val="24"/>
          <w:szCs w:val="24"/>
        </w:rPr>
        <w:t>data set is presented in the table below:</w:t>
      </w:r>
    </w:p>
    <w:p w:rsidR="00494E67" w:rsidRDefault="00494E67" w:rsidP="00D4457B">
      <w:pPr>
        <w:autoSpaceDE w:val="0"/>
        <w:autoSpaceDN w:val="0"/>
        <w:adjustRightInd w:val="0"/>
        <w:spacing w:after="0" w:line="240" w:lineRule="auto"/>
      </w:pPr>
      <w:r>
        <w:rPr>
          <w:rFonts w:ascii="Segoe UI" w:hAnsi="Segoe UI" w:cs="Segoe UI"/>
          <w:color w:val="666666"/>
          <w:sz w:val="24"/>
          <w:szCs w:val="24"/>
        </w:rPr>
        <w:fldChar w:fldCharType="begin"/>
      </w:r>
      <w:r>
        <w:rPr>
          <w:rFonts w:ascii="Segoe UI" w:hAnsi="Segoe UI" w:cs="Segoe UI"/>
          <w:color w:val="666666"/>
          <w:sz w:val="24"/>
          <w:szCs w:val="24"/>
        </w:rPr>
        <w:instrText xml:space="preserve"> LINK Excel.Sheet.12 "Book1" "Sheet6!R1C1:R9C4" \a \f 5 \h  \* MERGEFORMAT </w:instrText>
      </w:r>
      <w:r>
        <w:rPr>
          <w:rFonts w:ascii="Segoe UI" w:hAnsi="Segoe UI" w:cs="Segoe UI"/>
          <w:color w:val="666666"/>
          <w:sz w:val="24"/>
          <w:szCs w:val="24"/>
        </w:rPr>
        <w:fldChar w:fldCharType="separate"/>
      </w:r>
    </w:p>
    <w:tbl>
      <w:tblPr>
        <w:tblStyle w:val="TableGrid"/>
        <w:tblW w:w="4600" w:type="dxa"/>
        <w:tblLook w:val="04A0" w:firstRow="1" w:lastRow="0" w:firstColumn="1" w:lastColumn="0" w:noHBand="0" w:noVBand="1"/>
      </w:tblPr>
      <w:tblGrid>
        <w:gridCol w:w="960"/>
        <w:gridCol w:w="1201"/>
        <w:gridCol w:w="1433"/>
        <w:gridCol w:w="1305"/>
      </w:tblGrid>
      <w:tr w:rsidR="00494E67" w:rsidRPr="00494E67" w:rsidTr="00494E67">
        <w:trPr>
          <w:trHeight w:val="1200"/>
        </w:trPr>
        <w:tc>
          <w:tcPr>
            <w:tcW w:w="960" w:type="dxa"/>
            <w:noWrap/>
            <w:hideMark/>
          </w:tcPr>
          <w:p w:rsidR="00494E67" w:rsidRPr="00494E67" w:rsidRDefault="00494E67" w:rsidP="00494E67">
            <w:pPr>
              <w:autoSpaceDE w:val="0"/>
              <w:autoSpaceDN w:val="0"/>
              <w:adjustRightInd w:val="0"/>
              <w:rPr>
                <w:rFonts w:ascii="Segoe UI" w:hAnsi="Segoe UI" w:cs="Segoe UI"/>
                <w:color w:val="666666"/>
                <w:sz w:val="24"/>
                <w:szCs w:val="24"/>
              </w:rPr>
            </w:pPr>
          </w:p>
        </w:tc>
        <w:tc>
          <w:tcPr>
            <w:tcW w:w="104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Open Interest</w:t>
            </w:r>
          </w:p>
        </w:tc>
        <w:tc>
          <w:tcPr>
            <w:tcW w:w="118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Longs</w:t>
            </w:r>
          </w:p>
        </w:tc>
        <w:tc>
          <w:tcPr>
            <w:tcW w:w="142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Shorts</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count</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mean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1.29E+06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270795.049</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6.27E+05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std</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2.10E+05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68976.2216</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1.55E+05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min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7.48E+05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102373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2.97E+05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25%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1.19E+06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226595</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5.24E+05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50%</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1.30E+06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262823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6.11E+05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75%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1.40E+06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314224</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7.06E+05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max</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1.99E+06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525197</w:t>
            </w:r>
          </w:p>
        </w:tc>
        <w:tc>
          <w:tcPr>
            <w:tcW w:w="1420" w:type="dxa"/>
            <w:hideMark/>
          </w:tcPr>
          <w:p w:rsidR="00494E67" w:rsidRPr="00494E67" w:rsidRDefault="00494E67" w:rsidP="00B40819">
            <w:pPr>
              <w:keepNext/>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1.00E+06</w:t>
            </w:r>
          </w:p>
        </w:tc>
      </w:tr>
    </w:tbl>
    <w:p w:rsidR="00B40819" w:rsidRPr="00B40819" w:rsidRDefault="00B40819" w:rsidP="00B40819">
      <w:pPr>
        <w:pStyle w:val="Caption"/>
        <w:jc w:val="center"/>
        <w:rPr>
          <w:sz w:val="24"/>
          <w:szCs w:val="24"/>
        </w:rPr>
      </w:pPr>
      <w:r w:rsidRPr="00B40819">
        <w:rPr>
          <w:sz w:val="24"/>
          <w:szCs w:val="24"/>
        </w:rPr>
        <w:t xml:space="preserve">Table </w:t>
      </w:r>
      <w:r w:rsidRPr="00B40819">
        <w:rPr>
          <w:sz w:val="24"/>
          <w:szCs w:val="24"/>
        </w:rPr>
        <w:fldChar w:fldCharType="begin"/>
      </w:r>
      <w:r w:rsidRPr="00B40819">
        <w:rPr>
          <w:sz w:val="24"/>
          <w:szCs w:val="24"/>
        </w:rPr>
        <w:instrText xml:space="preserve"> SEQ Table \* ARABIC </w:instrText>
      </w:r>
      <w:r w:rsidRPr="00B40819">
        <w:rPr>
          <w:sz w:val="24"/>
          <w:szCs w:val="24"/>
        </w:rPr>
        <w:fldChar w:fldCharType="separate"/>
      </w:r>
      <w:r w:rsidRPr="00B40819">
        <w:rPr>
          <w:noProof/>
          <w:sz w:val="24"/>
          <w:szCs w:val="24"/>
        </w:rPr>
        <w:t>5</w:t>
      </w:r>
      <w:r w:rsidRPr="00B40819">
        <w:rPr>
          <w:sz w:val="24"/>
          <w:szCs w:val="24"/>
        </w:rPr>
        <w:fldChar w:fldCharType="end"/>
      </w:r>
    </w:p>
    <w:p w:rsidR="002B2E62" w:rsidRDefault="00494E67" w:rsidP="00D4457B">
      <w:pPr>
        <w:autoSpaceDE w:val="0"/>
        <w:autoSpaceDN w:val="0"/>
        <w:adjustRightInd w:val="0"/>
        <w:spacing w:after="0" w:line="240" w:lineRule="auto"/>
        <w:rPr>
          <w:rFonts w:ascii="Segoe UI" w:hAnsi="Segoe UI" w:cs="Segoe UI"/>
          <w:color w:val="666666"/>
          <w:sz w:val="24"/>
          <w:szCs w:val="24"/>
        </w:rPr>
      </w:pPr>
      <w:r>
        <w:rPr>
          <w:rFonts w:ascii="Segoe UI" w:hAnsi="Segoe UI" w:cs="Segoe UI"/>
          <w:color w:val="666666"/>
          <w:sz w:val="24"/>
          <w:szCs w:val="24"/>
        </w:rPr>
        <w:fldChar w:fldCharType="end"/>
      </w:r>
    </w:p>
    <w:p w:rsidR="002B2E62" w:rsidRDefault="002B2E62"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410A45" w:rsidRDefault="00410A4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look at visual representation of data:</w:t>
      </w:r>
    </w:p>
    <w:p w:rsidR="00B40819" w:rsidRDefault="00410A45" w:rsidP="00B40819">
      <w:pPr>
        <w:keepNext/>
        <w:spacing w:after="240" w:line="240" w:lineRule="auto"/>
      </w:pPr>
      <w:r>
        <w:rPr>
          <w:noProof/>
        </w:rPr>
        <w:lastRenderedPageBreak/>
        <w:drawing>
          <wp:inline distT="0" distB="0" distL="0" distR="0">
            <wp:extent cx="5943600" cy="3820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F76CF1">
        <w:rPr>
          <w:noProof/>
          <w:sz w:val="24"/>
          <w:szCs w:val="24"/>
        </w:rPr>
        <w:t>1</w:t>
      </w:r>
      <w:r w:rsidRPr="00B40819">
        <w:rPr>
          <w:sz w:val="24"/>
          <w:szCs w:val="24"/>
        </w:rPr>
        <w:fldChar w:fldCharType="end"/>
      </w:r>
    </w:p>
    <w:p w:rsidR="005A2695" w:rsidRDefault="00410A45"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see that Corn Futures during 12-year history traded in a range with peak prices in 2008, 2012 and 2013.</w:t>
      </w:r>
      <w:r w:rsidR="005A2695" w:rsidRPr="005A2695">
        <w:rPr>
          <w:rFonts w:ascii="Segoe UI" w:eastAsia="Times New Roman" w:hAnsi="Segoe UI" w:cs="Segoe UI"/>
          <w:color w:val="24292E"/>
          <w:sz w:val="24"/>
          <w:szCs w:val="24"/>
        </w:rPr>
        <w:t xml:space="preserve"> </w:t>
      </w:r>
    </w:p>
    <w:p w:rsidR="00E5046D" w:rsidRDefault="00E5046D"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w:t>
      </w:r>
      <w:r w:rsidR="000D73A8">
        <w:rPr>
          <w:rFonts w:ascii="Segoe UI" w:eastAsia="Times New Roman" w:hAnsi="Segoe UI" w:cs="Segoe UI"/>
          <w:color w:val="24292E"/>
          <w:sz w:val="24"/>
          <w:szCs w:val="24"/>
        </w:rPr>
        <w:t xml:space="preserve"> combine </w:t>
      </w:r>
      <w:r>
        <w:rPr>
          <w:rFonts w:ascii="Segoe UI" w:eastAsia="Times New Roman" w:hAnsi="Segoe UI" w:cs="Segoe UI"/>
          <w:color w:val="24292E"/>
          <w:sz w:val="24"/>
          <w:szCs w:val="24"/>
        </w:rPr>
        <w:t>all information from both datasets and put them on one chart.</w:t>
      </w:r>
      <w:r w:rsidR="00B40819">
        <w:rPr>
          <w:rFonts w:ascii="Segoe UI" w:eastAsia="Times New Roman" w:hAnsi="Segoe UI" w:cs="Segoe UI"/>
          <w:color w:val="24292E"/>
          <w:sz w:val="24"/>
          <w:szCs w:val="24"/>
        </w:rPr>
        <w:t xml:space="preserve"> Also, Futures Pricing information has been resampled to weekly data, since we can only obtain COT weekly data.  </w:t>
      </w:r>
      <w:r w:rsidR="00C72666">
        <w:rPr>
          <w:rFonts w:ascii="Segoe UI" w:eastAsia="Times New Roman" w:hAnsi="Segoe UI" w:cs="Segoe UI"/>
          <w:color w:val="24292E"/>
          <w:sz w:val="24"/>
          <w:szCs w:val="24"/>
        </w:rPr>
        <w:t xml:space="preserve"> We can see that for the most part Open Interest (total, long and </w:t>
      </w:r>
      <w:r w:rsidR="00B40819">
        <w:rPr>
          <w:rFonts w:ascii="Segoe UI" w:eastAsia="Times New Roman" w:hAnsi="Segoe UI" w:cs="Segoe UI"/>
          <w:color w:val="24292E"/>
          <w:sz w:val="24"/>
          <w:szCs w:val="24"/>
        </w:rPr>
        <w:t>short) also</w:t>
      </w:r>
      <w:r w:rsidR="00C72666">
        <w:rPr>
          <w:rFonts w:ascii="Segoe UI" w:eastAsia="Times New Roman" w:hAnsi="Segoe UI" w:cs="Segoe UI"/>
          <w:color w:val="24292E"/>
          <w:sz w:val="24"/>
          <w:szCs w:val="24"/>
        </w:rPr>
        <w:t xml:space="preserve"> tend to fluctuate over time with slight upward bias.</w:t>
      </w:r>
    </w:p>
    <w:p w:rsidR="00C72666" w:rsidRDefault="00C72666" w:rsidP="00410A45">
      <w:pPr>
        <w:spacing w:after="240" w:line="240" w:lineRule="auto"/>
        <w:rPr>
          <w:rFonts w:ascii="Segoe UI" w:eastAsia="Times New Roman" w:hAnsi="Segoe UI" w:cs="Segoe UI"/>
          <w:color w:val="24292E"/>
          <w:sz w:val="24"/>
          <w:szCs w:val="24"/>
        </w:rPr>
      </w:pPr>
    </w:p>
    <w:p w:rsidR="00B40819" w:rsidRDefault="000D73A8" w:rsidP="00B40819">
      <w:pPr>
        <w:keepNext/>
        <w:spacing w:after="240" w:line="240" w:lineRule="auto"/>
      </w:pPr>
      <w:r>
        <w:rPr>
          <w:noProof/>
        </w:rPr>
        <w:lastRenderedPageBreak/>
        <w:drawing>
          <wp:inline distT="0" distB="0" distL="0" distR="0">
            <wp:extent cx="5943600" cy="3820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F76CF1">
        <w:rPr>
          <w:noProof/>
          <w:sz w:val="24"/>
          <w:szCs w:val="24"/>
        </w:rPr>
        <w:t>2</w:t>
      </w:r>
      <w:r w:rsidRPr="00B40819">
        <w:rPr>
          <w:sz w:val="24"/>
          <w:szCs w:val="24"/>
        </w:rPr>
        <w:fldChar w:fldCharType="end"/>
      </w:r>
    </w:p>
    <w:p w:rsidR="00B40819" w:rsidRDefault="00C72666"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look at another visualization. It is similar </w:t>
      </w:r>
      <w:r w:rsidR="00B40819">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char</w:t>
      </w:r>
      <w:r w:rsidR="00B4081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00B40819">
        <w:rPr>
          <w:rFonts w:ascii="Segoe UI" w:eastAsia="Times New Roman" w:hAnsi="Segoe UI" w:cs="Segoe UI"/>
          <w:color w:val="24292E"/>
          <w:sz w:val="24"/>
          <w:szCs w:val="24"/>
        </w:rPr>
        <w:t>presented above, however on the X axis we have trading weeks starting a zero instead of dates:</w:t>
      </w:r>
    </w:p>
    <w:p w:rsidR="00C72666" w:rsidRDefault="00B40819"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72666">
        <w:rPr>
          <w:rFonts w:ascii="Segoe UI" w:eastAsia="Times New Roman" w:hAnsi="Segoe UI" w:cs="Segoe UI"/>
          <w:color w:val="24292E"/>
          <w:sz w:val="24"/>
          <w:szCs w:val="24"/>
        </w:rPr>
        <w:t xml:space="preserve"> </w:t>
      </w:r>
    </w:p>
    <w:p w:rsidR="00B40819" w:rsidRDefault="00B40819" w:rsidP="00B40819">
      <w:pPr>
        <w:keepNext/>
        <w:spacing w:after="240" w:line="240" w:lineRule="auto"/>
      </w:pPr>
      <w:r>
        <w:rPr>
          <w:noProof/>
        </w:rPr>
        <w:lastRenderedPageBreak/>
        <w:drawing>
          <wp:inline distT="0" distB="0" distL="0" distR="0">
            <wp:extent cx="5943600" cy="3820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72666"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F76CF1">
        <w:rPr>
          <w:noProof/>
          <w:sz w:val="24"/>
          <w:szCs w:val="24"/>
        </w:rPr>
        <w:t>3</w:t>
      </w:r>
      <w:r w:rsidRPr="00B40819">
        <w:rPr>
          <w:sz w:val="24"/>
          <w:szCs w:val="24"/>
        </w:rPr>
        <w:fldChar w:fldCharType="end"/>
      </w:r>
    </w:p>
    <w:p w:rsidR="00C72666" w:rsidRDefault="00C72666" w:rsidP="00410A45">
      <w:pPr>
        <w:spacing w:after="240" w:line="240" w:lineRule="auto"/>
        <w:rPr>
          <w:rFonts w:ascii="Segoe UI" w:eastAsia="Times New Roman" w:hAnsi="Segoe UI" w:cs="Segoe UI"/>
          <w:color w:val="24292E"/>
          <w:sz w:val="24"/>
          <w:szCs w:val="24"/>
        </w:rPr>
      </w:pPr>
    </w:p>
    <w:p w:rsidR="00B40819" w:rsidRPr="00B40819"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 xml:space="preserve">It can be helpful to compare line plots for the same interval, such as </w:t>
      </w:r>
      <w:r w:rsidR="008E7FBC">
        <w:rPr>
          <w:rFonts w:ascii="Segoe UI" w:eastAsia="Times New Roman" w:hAnsi="Segoe UI" w:cs="Segoe UI"/>
          <w:color w:val="24292E"/>
          <w:sz w:val="24"/>
          <w:szCs w:val="24"/>
        </w:rPr>
        <w:t>weekly Settle price,</w:t>
      </w:r>
    </w:p>
    <w:p w:rsidR="00C72666"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and year-to-year</w:t>
      </w:r>
      <w:r w:rsidR="008E7FBC">
        <w:rPr>
          <w:rFonts w:ascii="Segoe UI" w:eastAsia="Times New Roman" w:hAnsi="Segoe UI" w:cs="Segoe UI"/>
          <w:color w:val="24292E"/>
          <w:sz w:val="24"/>
          <w:szCs w:val="24"/>
        </w:rPr>
        <w:t xml:space="preserve"> in order to determine certain seasonality patterns:</w:t>
      </w:r>
    </w:p>
    <w:p w:rsidR="008E7FBC" w:rsidRDefault="008E7FBC" w:rsidP="008E7FBC">
      <w:pPr>
        <w:keepNext/>
        <w:spacing w:after="240" w:line="240" w:lineRule="auto"/>
      </w:pPr>
      <w:r>
        <w:rPr>
          <w:noProof/>
        </w:rPr>
        <w:lastRenderedPageBreak/>
        <w:drawing>
          <wp:inline distT="0" distB="0" distL="0" distR="0">
            <wp:extent cx="5943600" cy="3966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6808"/>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F76CF1">
        <w:rPr>
          <w:noProof/>
          <w:sz w:val="24"/>
          <w:szCs w:val="24"/>
        </w:rPr>
        <w:t>4</w:t>
      </w:r>
      <w:r w:rsidRPr="008E7FBC">
        <w:rPr>
          <w:sz w:val="24"/>
          <w:szCs w:val="24"/>
        </w:rPr>
        <w:fldChar w:fldCharType="end"/>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really hard to see any significant seasonality patterns, from the chart presented above.</w:t>
      </w:r>
    </w:p>
    <w:p w:rsidR="008E7FBC" w:rsidRDefault="00543E6C" w:rsidP="004454C1">
      <w:pPr>
        <w:spacing w:after="240" w:line="240" w:lineRule="auto"/>
        <w:rPr>
          <w:rFonts w:ascii="Segoe UI" w:eastAsia="Times New Roman" w:hAnsi="Segoe UI" w:cs="Segoe UI"/>
          <w:color w:val="24292E"/>
          <w:sz w:val="24"/>
          <w:szCs w:val="24"/>
        </w:rPr>
      </w:pPr>
      <w:r w:rsidRPr="00543E6C">
        <w:rPr>
          <w:rFonts w:ascii="Segoe UI" w:eastAsia="Times New Roman" w:hAnsi="Segoe UI" w:cs="Segoe UI"/>
          <w:color w:val="24292E"/>
          <w:sz w:val="24"/>
          <w:szCs w:val="24"/>
        </w:rPr>
        <w:t>Time series modeling assumes a relationship between an observation and the previous observation.</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Previous observations in a time series are called lags, with the observation at the previous time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 xml:space="preserve">step called lag1, the observation at </w:t>
      </w:r>
      <w:r w:rsidRPr="00543E6C">
        <w:rPr>
          <w:rFonts w:ascii="Segoe UI" w:eastAsia="Times New Roman" w:hAnsi="Segoe UI" w:cs="Segoe UI"/>
          <w:color w:val="24292E"/>
          <w:sz w:val="24"/>
          <w:szCs w:val="24"/>
        </w:rPr>
        <w:t>two-time</w:t>
      </w:r>
      <w:r w:rsidRPr="00543E6C">
        <w:rPr>
          <w:rFonts w:ascii="Segoe UI" w:eastAsia="Times New Roman" w:hAnsi="Segoe UI" w:cs="Segoe UI"/>
          <w:color w:val="24292E"/>
          <w:sz w:val="24"/>
          <w:szCs w:val="24"/>
        </w:rPr>
        <w:t xml:space="preserve"> steps ago lag=2, and so on. A useful type of plot</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to explore the relationship between each observation and a lag of that observation is called the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scatter plot.</w:t>
      </w:r>
      <w:r>
        <w:rPr>
          <w:rFonts w:ascii="Segoe UI" w:eastAsia="Times New Roman" w:hAnsi="Segoe UI" w:cs="Segoe UI"/>
          <w:color w:val="24292E"/>
          <w:sz w:val="24"/>
          <w:szCs w:val="24"/>
        </w:rPr>
        <w:t xml:space="preserve"> Let’s plot </w:t>
      </w:r>
      <w:r w:rsidRPr="00543E6C">
        <w:rPr>
          <w:rFonts w:ascii="Segoe UI" w:eastAsia="Times New Roman" w:hAnsi="Segoe UI" w:cs="Segoe UI"/>
          <w:color w:val="24292E"/>
          <w:sz w:val="24"/>
          <w:szCs w:val="24"/>
        </w:rPr>
        <w:t>Lag Scatter Plots</w:t>
      </w:r>
      <w:r>
        <w:rPr>
          <w:rFonts w:ascii="Segoe UI" w:eastAsia="Times New Roman" w:hAnsi="Segoe UI" w:cs="Segoe UI"/>
          <w:color w:val="24292E"/>
          <w:sz w:val="24"/>
          <w:szCs w:val="24"/>
        </w:rPr>
        <w:t xml:space="preserve"> of Corn Futures Settle Price.</w:t>
      </w:r>
      <w:r w:rsidR="004454C1">
        <w:rPr>
          <w:rFonts w:ascii="Segoe UI" w:eastAsia="Times New Roman" w:hAnsi="Segoe UI" w:cs="Segoe UI"/>
          <w:color w:val="24292E"/>
          <w:sz w:val="24"/>
          <w:szCs w:val="24"/>
        </w:rPr>
        <w:t xml:space="preserve"> We can see from the chart presented below </w:t>
      </w:r>
      <w:r w:rsidR="004454C1" w:rsidRPr="004454C1">
        <w:rPr>
          <w:rFonts w:ascii="Segoe UI" w:eastAsia="Times New Roman" w:hAnsi="Segoe UI" w:cs="Segoe UI"/>
          <w:color w:val="24292E"/>
          <w:sz w:val="24"/>
          <w:szCs w:val="24"/>
        </w:rPr>
        <w:t>the strongest relationship between an observation with its</w:t>
      </w:r>
      <w:r w:rsidR="004454C1">
        <w:rPr>
          <w:rFonts w:ascii="Segoe UI" w:eastAsia="Times New Roman" w:hAnsi="Segoe UI" w:cs="Segoe UI"/>
          <w:color w:val="24292E"/>
          <w:sz w:val="24"/>
          <w:szCs w:val="24"/>
        </w:rPr>
        <w:t xml:space="preserve"> </w:t>
      </w:r>
      <w:r w:rsidR="004454C1" w:rsidRPr="004454C1">
        <w:rPr>
          <w:rFonts w:ascii="Segoe UI" w:eastAsia="Times New Roman" w:hAnsi="Segoe UI" w:cs="Segoe UI"/>
          <w:color w:val="24292E"/>
          <w:sz w:val="24"/>
          <w:szCs w:val="24"/>
        </w:rPr>
        <w:t xml:space="preserve">lag=1 value, but generally a good positive correlation with each value in the last </w:t>
      </w:r>
      <w:r w:rsidR="00326893">
        <w:rPr>
          <w:rFonts w:ascii="Segoe UI" w:eastAsia="Times New Roman" w:hAnsi="Segoe UI" w:cs="Segoe UI"/>
          <w:color w:val="24292E"/>
          <w:sz w:val="24"/>
          <w:szCs w:val="24"/>
        </w:rPr>
        <w:t>month (4</w:t>
      </w:r>
      <w:r w:rsidR="004454C1">
        <w:rPr>
          <w:rFonts w:ascii="Segoe UI" w:eastAsia="Times New Roman" w:hAnsi="Segoe UI" w:cs="Segoe UI"/>
          <w:color w:val="24292E"/>
          <w:sz w:val="24"/>
          <w:szCs w:val="24"/>
        </w:rPr>
        <w:t xml:space="preserve"> weeks)</w:t>
      </w:r>
      <w:r w:rsidR="004454C1" w:rsidRPr="004454C1">
        <w:rPr>
          <w:rFonts w:ascii="Segoe UI" w:eastAsia="Times New Roman" w:hAnsi="Segoe UI" w:cs="Segoe UI"/>
          <w:color w:val="24292E"/>
          <w:sz w:val="24"/>
          <w:szCs w:val="24"/>
        </w:rPr>
        <w:t>.</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E7FBC" w:rsidRDefault="008E7FBC" w:rsidP="008E7FBC">
      <w:pPr>
        <w:keepNext/>
        <w:spacing w:after="240" w:line="240" w:lineRule="auto"/>
      </w:pPr>
      <w:r>
        <w:rPr>
          <w:noProof/>
        </w:rPr>
        <w:lastRenderedPageBreak/>
        <w:drawing>
          <wp:inline distT="0" distB="0" distL="0" distR="0">
            <wp:extent cx="5943600" cy="7611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11069"/>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F76CF1">
        <w:rPr>
          <w:noProof/>
          <w:sz w:val="24"/>
          <w:szCs w:val="24"/>
        </w:rPr>
        <w:t>5</w:t>
      </w:r>
      <w:r w:rsidRPr="008E7FBC">
        <w:rPr>
          <w:sz w:val="24"/>
          <w:szCs w:val="24"/>
        </w:rPr>
        <w:fldChar w:fldCharType="end"/>
      </w:r>
      <w:r w:rsidR="004454C1" w:rsidRPr="004454C1">
        <w:t xml:space="preserve"> </w:t>
      </w:r>
      <w:r w:rsidR="004454C1" w:rsidRPr="004454C1">
        <w:rPr>
          <w:sz w:val="24"/>
          <w:szCs w:val="24"/>
        </w:rPr>
        <w:t xml:space="preserve">Multiple Lag scatter plots of the </w:t>
      </w:r>
      <w:r w:rsidR="004454C1">
        <w:rPr>
          <w:sz w:val="24"/>
          <w:szCs w:val="24"/>
        </w:rPr>
        <w:t>Corn Futures Settle Price</w:t>
      </w:r>
      <w:r w:rsidR="004454C1" w:rsidRPr="004454C1">
        <w:rPr>
          <w:sz w:val="24"/>
          <w:szCs w:val="24"/>
        </w:rPr>
        <w: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Algorithms and Techniques</w:t>
      </w:r>
    </w:p>
    <w:p w:rsidR="001D3DBA" w:rsidRDefault="000767A5" w:rsidP="005755FA">
      <w:pPr>
        <w:spacing w:after="240" w:line="240" w:lineRule="auto"/>
        <w:rPr>
          <w:rFonts w:ascii="Segoe UI" w:eastAsia="Times New Roman" w:hAnsi="Segoe UI" w:cs="Segoe UI"/>
          <w:color w:val="24292E"/>
          <w:sz w:val="24"/>
          <w:szCs w:val="24"/>
        </w:rPr>
      </w:pPr>
      <w:r w:rsidRPr="000767A5">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main goal of this project </w:t>
      </w:r>
      <w:r w:rsidRPr="000767A5">
        <w:rPr>
          <w:rFonts w:ascii="Segoe UI" w:eastAsia="Times New Roman" w:hAnsi="Segoe UI" w:cs="Segoe UI"/>
          <w:color w:val="24292E"/>
          <w:sz w:val="24"/>
          <w:szCs w:val="24"/>
        </w:rPr>
        <w:t xml:space="preserve">is to apply LSTM (Long </w:t>
      </w:r>
      <w:r>
        <w:rPr>
          <w:rFonts w:ascii="Segoe UI" w:eastAsia="Times New Roman" w:hAnsi="Segoe UI" w:cs="Segoe UI"/>
          <w:color w:val="24292E"/>
          <w:sz w:val="24"/>
          <w:szCs w:val="24"/>
        </w:rPr>
        <w:t>S</w:t>
      </w:r>
      <w:r w:rsidRPr="000767A5">
        <w:rPr>
          <w:rFonts w:ascii="Segoe UI" w:eastAsia="Times New Roman" w:hAnsi="Segoe UI" w:cs="Segoe UI"/>
          <w:color w:val="24292E"/>
          <w:sz w:val="24"/>
          <w:szCs w:val="24"/>
        </w:rPr>
        <w:t>hort</w:t>
      </w:r>
      <w:r>
        <w:rPr>
          <w:rFonts w:ascii="Segoe UI" w:eastAsia="Times New Roman" w:hAnsi="Segoe UI" w:cs="Segoe UI"/>
          <w:color w:val="24292E"/>
          <w:sz w:val="24"/>
          <w:szCs w:val="24"/>
        </w:rPr>
        <w:t>-Term</w:t>
      </w:r>
      <w:r w:rsidRPr="000767A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w:t>
      </w:r>
      <w:r w:rsidRPr="000767A5">
        <w:rPr>
          <w:rFonts w:ascii="Segoe UI" w:eastAsia="Times New Roman" w:hAnsi="Segoe UI" w:cs="Segoe UI"/>
          <w:color w:val="24292E"/>
          <w:sz w:val="24"/>
          <w:szCs w:val="24"/>
        </w:rPr>
        <w:t xml:space="preserve">emory) to predict the </w:t>
      </w:r>
      <w:r>
        <w:rPr>
          <w:rFonts w:ascii="Segoe UI" w:eastAsia="Times New Roman" w:hAnsi="Segoe UI" w:cs="Segoe UI"/>
          <w:color w:val="24292E"/>
          <w:sz w:val="24"/>
          <w:szCs w:val="24"/>
        </w:rPr>
        <w:t xml:space="preserve">Corn Futures Settling price for the next week. </w:t>
      </w:r>
      <w:r w:rsidR="00A12B6C" w:rsidRPr="00A12B6C">
        <w:rPr>
          <w:rFonts w:ascii="Segoe UI" w:eastAsia="Times New Roman" w:hAnsi="Segoe UI" w:cs="Segoe UI"/>
          <w:color w:val="24292E"/>
          <w:sz w:val="24"/>
          <w:szCs w:val="24"/>
        </w:rPr>
        <w:t>The Long Short-Term Memory, or LSTM, network is a type of Recurrent Neural Network.</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Recurrent Neural Networks, or RNNs for short, are a special type of neural network designed</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for sequence problems.</w:t>
      </w:r>
      <w:r w:rsidR="00A12B6C">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LSTMs are very </w:t>
      </w:r>
      <w:r w:rsidRPr="000767A5">
        <w:rPr>
          <w:rFonts w:ascii="Segoe UI" w:eastAsia="Times New Roman" w:hAnsi="Segoe UI" w:cs="Segoe UI"/>
          <w:color w:val="24292E"/>
          <w:sz w:val="24"/>
          <w:szCs w:val="24"/>
        </w:rPr>
        <w:t>di</w:t>
      </w:r>
      <w:r>
        <w:rPr>
          <w:rFonts w:ascii="Segoe UI" w:eastAsia="Times New Roman" w:hAnsi="Segoe UI" w:cs="Segoe UI"/>
          <w:color w:val="24292E"/>
          <w:sz w:val="24"/>
          <w:szCs w:val="24"/>
        </w:rPr>
        <w:t>f</w:t>
      </w:r>
      <w:r w:rsidRPr="000767A5">
        <w:rPr>
          <w:rFonts w:ascii="Segoe UI" w:eastAsia="Times New Roman" w:hAnsi="Segoe UI" w:cs="Segoe UI"/>
          <w:color w:val="24292E"/>
          <w:sz w:val="24"/>
          <w:szCs w:val="24"/>
        </w:rPr>
        <w:t>ferent</w:t>
      </w:r>
      <w:r w:rsidRPr="000767A5">
        <w:rPr>
          <w:rFonts w:ascii="Segoe UI" w:eastAsia="Times New Roman" w:hAnsi="Segoe UI" w:cs="Segoe UI"/>
          <w:color w:val="24292E"/>
          <w:sz w:val="24"/>
          <w:szCs w:val="24"/>
        </w:rPr>
        <w:t xml:space="preserve"> to other deep learning techniques, such as Multilayer </w:t>
      </w:r>
      <w:proofErr w:type="spellStart"/>
      <w:r w:rsidRPr="000767A5">
        <w:rPr>
          <w:rFonts w:ascii="Segoe UI" w:eastAsia="Times New Roman" w:hAnsi="Segoe UI" w:cs="Segoe UI"/>
          <w:color w:val="24292E"/>
          <w:sz w:val="24"/>
          <w:szCs w:val="24"/>
        </w:rPr>
        <w:t>Perceptrons</w:t>
      </w:r>
      <w:proofErr w:type="spellEnd"/>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(MLPs) and Convolutional Neural Networks (CNNs), in that they are designed </w:t>
      </w:r>
      <w:r>
        <w:rPr>
          <w:rFonts w:ascii="Segoe UI" w:eastAsia="Times New Roman" w:hAnsi="Segoe UI" w:cs="Segoe UI"/>
          <w:color w:val="24292E"/>
          <w:sz w:val="24"/>
          <w:szCs w:val="24"/>
        </w:rPr>
        <w:t xml:space="preserve">specifically </w:t>
      </w:r>
      <w:r w:rsidRPr="000767A5">
        <w:rPr>
          <w:rFonts w:ascii="Segoe UI" w:eastAsia="Times New Roman" w:hAnsi="Segoe UI" w:cs="Segoe UI"/>
          <w:color w:val="24292E"/>
          <w:sz w:val="24"/>
          <w:szCs w:val="24"/>
        </w:rPr>
        <w:t>for</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sequence prediction </w:t>
      </w:r>
      <w:r w:rsidRPr="000767A5">
        <w:rPr>
          <w:rFonts w:ascii="Segoe UI" w:eastAsia="Times New Roman" w:hAnsi="Segoe UI" w:cs="Segoe UI"/>
          <w:color w:val="24292E"/>
          <w:sz w:val="24"/>
          <w:szCs w:val="24"/>
        </w:rPr>
        <w:t>problems.</w:t>
      </w:r>
      <w:r>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 xml:space="preserve">Sequence prediction is </w:t>
      </w:r>
      <w:r w:rsidR="005755FA" w:rsidRPr="005755FA">
        <w:rPr>
          <w:rFonts w:ascii="Segoe UI" w:eastAsia="Times New Roman" w:hAnsi="Segoe UI" w:cs="Segoe UI"/>
          <w:color w:val="24292E"/>
          <w:sz w:val="24"/>
          <w:szCs w:val="24"/>
        </w:rPr>
        <w:t>di</w:t>
      </w:r>
      <w:r w:rsidR="005755FA">
        <w:rPr>
          <w:rFonts w:ascii="Segoe UI" w:eastAsia="Times New Roman" w:hAnsi="Segoe UI" w:cs="Segoe UI"/>
          <w:color w:val="24292E"/>
          <w:sz w:val="24"/>
          <w:szCs w:val="24"/>
        </w:rPr>
        <w:t>f</w:t>
      </w:r>
      <w:r w:rsidR="005755FA" w:rsidRPr="005755FA">
        <w:rPr>
          <w:rFonts w:ascii="Segoe UI" w:eastAsia="Times New Roman" w:hAnsi="Segoe UI" w:cs="Segoe UI"/>
          <w:color w:val="24292E"/>
          <w:sz w:val="24"/>
          <w:szCs w:val="24"/>
        </w:rPr>
        <w:t>ferent</w:t>
      </w:r>
      <w:r w:rsidR="005755FA" w:rsidRPr="005755FA">
        <w:rPr>
          <w:rFonts w:ascii="Segoe UI" w:eastAsia="Times New Roman" w:hAnsi="Segoe UI" w:cs="Segoe UI"/>
          <w:color w:val="24292E"/>
          <w:sz w:val="24"/>
          <w:szCs w:val="24"/>
        </w:rPr>
        <w:t xml:space="preserve"> to other types of supervised learning problems. The sequence</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imposes an order on the observations that must be preserved when training models and making</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predictions.</w:t>
      </w:r>
    </w:p>
    <w:p w:rsidR="008E0BDC" w:rsidRDefault="00A12B6C"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we will use a relatively </w:t>
      </w:r>
      <w:r w:rsidRPr="00A12B6C">
        <w:rPr>
          <w:rFonts w:ascii="Segoe UI" w:eastAsia="Times New Roman" w:hAnsi="Segoe UI" w:cs="Segoe UI"/>
          <w:color w:val="24292E"/>
          <w:sz w:val="24"/>
          <w:szCs w:val="24"/>
        </w:rPr>
        <w:t xml:space="preserve">simple </w:t>
      </w:r>
      <w:r>
        <w:rPr>
          <w:rFonts w:ascii="Segoe UI" w:eastAsia="Times New Roman" w:hAnsi="Segoe UI" w:cs="Segoe UI"/>
          <w:color w:val="24292E"/>
          <w:sz w:val="24"/>
          <w:szCs w:val="24"/>
        </w:rPr>
        <w:t>Neural Network Architecture based on LSTM.</w:t>
      </w:r>
      <w:r w:rsidRPr="00A12B6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Our network will contain:</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Input layer.</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LSTM hidden layer.</w:t>
      </w:r>
    </w:p>
    <w:p w:rsidR="00A12B6C"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output layer.</w:t>
      </w:r>
    </w:p>
    <w:p w:rsidR="00B30E74" w:rsidRDefault="00F76CF1" w:rsidP="005755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Neural Network is presented in the figure bellow.</w:t>
      </w:r>
    </w:p>
    <w:p w:rsidR="00F76CF1" w:rsidRDefault="00F76CF1" w:rsidP="005755FA">
      <w:pPr>
        <w:spacing w:after="240" w:line="240" w:lineRule="auto"/>
        <w:rPr>
          <w:rFonts w:ascii="Segoe UI" w:eastAsia="Times New Roman" w:hAnsi="Segoe UI" w:cs="Segoe UI"/>
          <w:color w:val="24292E"/>
          <w:sz w:val="24"/>
          <w:szCs w:val="24"/>
        </w:rPr>
      </w:pPr>
    </w:p>
    <w:p w:rsidR="00B30E74" w:rsidRDefault="00B30E74" w:rsidP="00B30E74">
      <w:pPr>
        <w:keepNext/>
        <w:spacing w:after="240" w:line="240" w:lineRule="auto"/>
        <w:jc w:val="center"/>
      </w:pPr>
      <w:r>
        <w:rPr>
          <w:noProof/>
        </w:rPr>
        <w:drawing>
          <wp:inline distT="0" distB="0" distL="0" distR="0" wp14:anchorId="318FA6D9" wp14:editId="13D5F5A2">
            <wp:extent cx="2428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3333750"/>
                    </a:xfrm>
                    <a:prstGeom prst="rect">
                      <a:avLst/>
                    </a:prstGeom>
                  </pic:spPr>
                </pic:pic>
              </a:graphicData>
            </a:graphic>
          </wp:inline>
        </w:drawing>
      </w:r>
    </w:p>
    <w:p w:rsidR="008F6D7A" w:rsidRDefault="00B30E74" w:rsidP="00B30E74">
      <w:pPr>
        <w:pStyle w:val="Caption"/>
        <w:jc w:val="center"/>
        <w:rPr>
          <w:sz w:val="24"/>
          <w:szCs w:val="24"/>
        </w:rPr>
      </w:pPr>
      <w:r w:rsidRPr="00B30E74">
        <w:rPr>
          <w:sz w:val="24"/>
          <w:szCs w:val="24"/>
        </w:rPr>
        <w:t xml:space="preserve">Figure </w:t>
      </w:r>
      <w:r w:rsidRPr="00B30E74">
        <w:rPr>
          <w:sz w:val="24"/>
          <w:szCs w:val="24"/>
        </w:rPr>
        <w:fldChar w:fldCharType="begin"/>
      </w:r>
      <w:r w:rsidRPr="00B30E74">
        <w:rPr>
          <w:sz w:val="24"/>
          <w:szCs w:val="24"/>
        </w:rPr>
        <w:instrText xml:space="preserve"> SEQ Figure \* ARABIC </w:instrText>
      </w:r>
      <w:r w:rsidRPr="00B30E74">
        <w:rPr>
          <w:sz w:val="24"/>
          <w:szCs w:val="24"/>
        </w:rPr>
        <w:fldChar w:fldCharType="separate"/>
      </w:r>
      <w:r w:rsidR="00F76CF1">
        <w:rPr>
          <w:noProof/>
          <w:sz w:val="24"/>
          <w:szCs w:val="24"/>
        </w:rPr>
        <w:t>6</w:t>
      </w:r>
      <w:r w:rsidRPr="00B30E74">
        <w:rPr>
          <w:sz w:val="24"/>
          <w:szCs w:val="24"/>
        </w:rPr>
        <w:fldChar w:fldCharType="end"/>
      </w:r>
      <w:r>
        <w:rPr>
          <w:sz w:val="24"/>
          <w:szCs w:val="24"/>
        </w:rPr>
        <w:t xml:space="preserve"> LSTM Network Architecture </w:t>
      </w:r>
    </w:p>
    <w:p w:rsidR="00B30E74" w:rsidRPr="00B30E74" w:rsidRDefault="006F680D" w:rsidP="006F680D">
      <w:pPr>
        <w:pStyle w:val="Caption"/>
        <w:rPr>
          <w:rFonts w:ascii="Segoe UI" w:eastAsia="Times New Roman" w:hAnsi="Segoe UI" w:cs="Segoe UI"/>
          <w:color w:val="24292E"/>
          <w:sz w:val="24"/>
          <w:szCs w:val="24"/>
        </w:rPr>
      </w:pPr>
      <w:r>
        <w:rPr>
          <w:rFonts w:ascii="Segoe UI" w:hAnsi="Segoe UI" w:cs="Segoe UI"/>
          <w:i w:val="0"/>
          <w:sz w:val="24"/>
          <w:szCs w:val="24"/>
        </w:rPr>
        <w:lastRenderedPageBreak/>
        <w:t xml:space="preserve">In the figure presented below we define simplified implementation of this network in </w:t>
      </w:r>
      <w:proofErr w:type="spellStart"/>
      <w:r w:rsidRPr="006F680D">
        <w:rPr>
          <w:rFonts w:ascii="Segoe UI" w:hAnsi="Segoe UI" w:cs="Segoe UI"/>
          <w:i w:val="0"/>
          <w:sz w:val="24"/>
          <w:szCs w:val="24"/>
        </w:rPr>
        <w:t>Keras</w:t>
      </w:r>
      <w:proofErr w:type="spellEnd"/>
      <w:r w:rsidRPr="006F680D">
        <w:rPr>
          <w:rFonts w:ascii="Segoe UI" w:hAnsi="Segoe UI" w:cs="Segoe UI"/>
          <w:i w:val="0"/>
          <w:sz w:val="24"/>
          <w:szCs w:val="24"/>
        </w:rPr>
        <w:t>, with ellipsis for the speci</w:t>
      </w:r>
      <w:r>
        <w:rPr>
          <w:rFonts w:ascii="Segoe UI" w:hAnsi="Segoe UI" w:cs="Segoe UI"/>
          <w:i w:val="0"/>
          <w:sz w:val="24"/>
          <w:szCs w:val="24"/>
        </w:rPr>
        <w:t>fi</w:t>
      </w:r>
      <w:r w:rsidRPr="006F680D">
        <w:rPr>
          <w:rFonts w:ascii="Segoe UI" w:hAnsi="Segoe UI" w:cs="Segoe UI"/>
          <w:i w:val="0"/>
          <w:sz w:val="24"/>
          <w:szCs w:val="24"/>
        </w:rPr>
        <w:t>c con</w:t>
      </w:r>
      <w:r>
        <w:rPr>
          <w:rFonts w:ascii="Segoe UI" w:hAnsi="Segoe UI" w:cs="Segoe UI"/>
          <w:i w:val="0"/>
          <w:sz w:val="24"/>
          <w:szCs w:val="24"/>
        </w:rPr>
        <w:t>fi</w:t>
      </w:r>
      <w:r w:rsidRPr="006F680D">
        <w:rPr>
          <w:rFonts w:ascii="Segoe UI" w:hAnsi="Segoe UI" w:cs="Segoe UI"/>
          <w:i w:val="0"/>
          <w:sz w:val="24"/>
          <w:szCs w:val="24"/>
        </w:rPr>
        <w:t>guration of the</w:t>
      </w:r>
      <w:r>
        <w:rPr>
          <w:rFonts w:ascii="Segoe UI" w:hAnsi="Segoe UI" w:cs="Segoe UI"/>
          <w:i w:val="0"/>
          <w:sz w:val="24"/>
          <w:szCs w:val="24"/>
        </w:rPr>
        <w:t xml:space="preserve"> </w:t>
      </w:r>
      <w:bookmarkStart w:id="2" w:name="_GoBack"/>
      <w:bookmarkEnd w:id="2"/>
      <w:r w:rsidRPr="006F680D">
        <w:rPr>
          <w:rFonts w:ascii="Segoe UI" w:hAnsi="Segoe UI" w:cs="Segoe UI"/>
          <w:i w:val="0"/>
          <w:sz w:val="24"/>
          <w:szCs w:val="24"/>
        </w:rPr>
        <w:t>number of neurons in each layer.</w:t>
      </w:r>
    </w:p>
    <w:tbl>
      <w:tblPr>
        <w:tblStyle w:val="TableGrid"/>
        <w:tblW w:w="0" w:type="auto"/>
        <w:tblLook w:val="04A0" w:firstRow="1" w:lastRow="0" w:firstColumn="1" w:lastColumn="0" w:noHBand="0" w:noVBand="1"/>
      </w:tblPr>
      <w:tblGrid>
        <w:gridCol w:w="9350"/>
      </w:tblGrid>
      <w:tr w:rsidR="00F76CF1" w:rsidRPr="00F76CF1" w:rsidTr="00F76CF1">
        <w:tc>
          <w:tcPr>
            <w:tcW w:w="9350" w:type="dxa"/>
          </w:tcPr>
          <w:p w:rsidR="00F76CF1" w:rsidRPr="00F76CF1" w:rsidRDefault="00F76CF1" w:rsidP="00847B01">
            <w:pPr>
              <w:spacing w:after="240"/>
              <w:rPr>
                <w:rFonts w:ascii="Segoe UI" w:eastAsia="Times New Roman" w:hAnsi="Segoe UI" w:cs="Segoe UI"/>
                <w:i/>
                <w:color w:val="24292E"/>
                <w:sz w:val="24"/>
                <w:szCs w:val="24"/>
              </w:rPr>
            </w:pPr>
            <w:r w:rsidRPr="00F76CF1">
              <w:rPr>
                <w:rFonts w:ascii="Segoe UI" w:eastAsia="Times New Roman" w:hAnsi="Segoe UI" w:cs="Segoe UI"/>
                <w:i/>
                <w:color w:val="24292E"/>
                <w:sz w:val="24"/>
                <w:szCs w:val="24"/>
              </w:rPr>
              <w:t xml:space="preserve">model = </w:t>
            </w:r>
            <w:proofErr w:type="gramStart"/>
            <w:r w:rsidRPr="00F76CF1">
              <w:rPr>
                <w:rFonts w:ascii="Segoe UI" w:eastAsia="Times New Roman" w:hAnsi="Segoe UI" w:cs="Segoe UI"/>
                <w:i/>
                <w:color w:val="24292E"/>
                <w:sz w:val="24"/>
                <w:szCs w:val="24"/>
              </w:rPr>
              <w:t>Sequential(</w:t>
            </w:r>
            <w:proofErr w:type="gramEnd"/>
            <w:r w:rsidRPr="00F76CF1">
              <w:rPr>
                <w:rFonts w:ascii="Segoe UI" w:eastAsia="Times New Roman" w:hAnsi="Segoe UI" w:cs="Segoe UI"/>
                <w:i/>
                <w:color w:val="24292E"/>
                <w:sz w:val="24"/>
                <w:szCs w:val="24"/>
              </w:rPr>
              <w:t>)</w:t>
            </w:r>
          </w:p>
          <w:p w:rsidR="00F76CF1" w:rsidRPr="00F76CF1" w:rsidRDefault="00F76CF1" w:rsidP="00847B01">
            <w:pPr>
              <w:spacing w:after="240"/>
              <w:rPr>
                <w:rFonts w:ascii="Segoe UI" w:eastAsia="Times New Roman" w:hAnsi="Segoe UI" w:cs="Segoe UI"/>
                <w: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 xml:space="preserve">LSTM(..., </w:t>
            </w:r>
            <w:proofErr w:type="spellStart"/>
            <w:r w:rsidRPr="00F76CF1">
              <w:rPr>
                <w:rFonts w:ascii="Segoe UI" w:eastAsia="Times New Roman" w:hAnsi="Segoe UI" w:cs="Segoe UI"/>
                <w:i/>
                <w:color w:val="24292E"/>
                <w:sz w:val="24"/>
                <w:szCs w:val="24"/>
              </w:rPr>
              <w:t>input_shape</w:t>
            </w:r>
            <w:proofErr w:type="spellEnd"/>
            <w:r w:rsidRPr="00F76CF1">
              <w:rPr>
                <w:rFonts w:ascii="Segoe UI" w:eastAsia="Times New Roman" w:hAnsi="Segoe UI" w:cs="Segoe UI"/>
                <w:i/>
                <w:color w:val="24292E"/>
                <w:sz w:val="24"/>
                <w:szCs w:val="24"/>
              </w:rPr>
              <w:t>=(...)))</w:t>
            </w:r>
          </w:p>
          <w:p w:rsidR="00F76CF1" w:rsidRPr="00F76CF1" w:rsidRDefault="00F76CF1" w:rsidP="00F76CF1">
            <w:pPr>
              <w:keepNext/>
              <w:spacing w:after="240"/>
              <w:rPr>
                <w:rFonts w:ascii="Segoe UI" w:eastAsia="Times New Roman" w:hAnsi="Segoe UI" w:cs="Segoe U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Dense(...))</w:t>
            </w:r>
          </w:p>
        </w:tc>
      </w:tr>
    </w:tbl>
    <w:p w:rsidR="00A4349F" w:rsidRPr="00F76CF1" w:rsidRDefault="00F76CF1" w:rsidP="00F76CF1">
      <w:pPr>
        <w:pStyle w:val="Caption"/>
        <w:jc w:val="center"/>
        <w:rPr>
          <w:rFonts w:ascii="Segoe UI" w:eastAsia="Times New Roman" w:hAnsi="Segoe UI" w:cs="Segoe UI"/>
          <w:color w:val="24292E"/>
          <w:sz w:val="24"/>
          <w:szCs w:val="24"/>
        </w:rPr>
      </w:pPr>
      <w:r w:rsidRPr="00F76CF1">
        <w:rPr>
          <w:sz w:val="24"/>
          <w:szCs w:val="24"/>
        </w:rPr>
        <w:t xml:space="preserve">Figure </w:t>
      </w:r>
      <w:r w:rsidRPr="00F76CF1">
        <w:rPr>
          <w:sz w:val="24"/>
          <w:szCs w:val="24"/>
        </w:rPr>
        <w:fldChar w:fldCharType="begin"/>
      </w:r>
      <w:r w:rsidRPr="00F76CF1">
        <w:rPr>
          <w:sz w:val="24"/>
          <w:szCs w:val="24"/>
        </w:rPr>
        <w:instrText xml:space="preserve"> SEQ Figure \* ARABIC </w:instrText>
      </w:r>
      <w:r w:rsidRPr="00F76CF1">
        <w:rPr>
          <w:sz w:val="24"/>
          <w:szCs w:val="24"/>
        </w:rPr>
        <w:fldChar w:fldCharType="separate"/>
      </w:r>
      <w:r w:rsidRPr="00F76CF1">
        <w:rPr>
          <w:noProof/>
          <w:sz w:val="24"/>
          <w:szCs w:val="24"/>
        </w:rPr>
        <w:t>7</w:t>
      </w:r>
      <w:r w:rsidRPr="00F76CF1">
        <w:rPr>
          <w:sz w:val="24"/>
          <w:szCs w:val="24"/>
        </w:rPr>
        <w:fldChar w:fldCharType="end"/>
      </w:r>
      <w:r w:rsidRPr="00F76CF1">
        <w:t xml:space="preserve"> </w:t>
      </w:r>
      <w:r>
        <w:rPr>
          <w:sz w:val="24"/>
          <w:szCs w:val="24"/>
        </w:rPr>
        <w:t>Defining Simple</w:t>
      </w:r>
      <w:r w:rsidRPr="00F76CF1">
        <w:rPr>
          <w:sz w:val="24"/>
          <w:szCs w:val="24"/>
        </w:rPr>
        <w:t xml:space="preserve"> LSTM model</w:t>
      </w:r>
      <w:r>
        <w:rPr>
          <w:sz w:val="24"/>
          <w:szCs w:val="24"/>
        </w:rPr>
        <w:t xml:space="preserve"> in </w:t>
      </w:r>
      <w:proofErr w:type="spellStart"/>
      <w:r>
        <w:rPr>
          <w:sz w:val="24"/>
          <w:szCs w:val="24"/>
        </w:rPr>
        <w:t>Keras</w:t>
      </w:r>
      <w:proofErr w:type="spellEnd"/>
      <w:r w:rsidRPr="00F76CF1">
        <w:rPr>
          <w:sz w:val="24"/>
          <w:szCs w:val="24"/>
        </w:rPr>
        <w:t>.</w:t>
      </w:r>
    </w:p>
    <w:p w:rsidR="00F76CF1" w:rsidRDefault="00F76CF1" w:rsidP="00B30E74">
      <w:pPr>
        <w:spacing w:after="240" w:line="240" w:lineRule="auto"/>
        <w:rPr>
          <w:rFonts w:ascii="Segoe UI" w:eastAsia="Times New Roman" w:hAnsi="Segoe UI" w:cs="Segoe UI"/>
          <w:color w:val="24292E"/>
          <w:sz w:val="24"/>
          <w:szCs w:val="24"/>
        </w:rPr>
      </w:pP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In addition to adjusting the architecture of the Neural Network, the following full set of</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parameters can be tuned to optimize the prediction model:</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Input Parameters</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Preprocessing and Normalization (see Data Preprocessing Section)</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Neural Network Architecture</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Number of Layers (how many layers of nodes in the model; used 3)</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Number of Nodes (how many nodes per layer; tested 1,3,8, 16, 32, 64, 100,128)</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Training Parameters</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Training / Test Split (how much of dataset to train versus test model on; kept</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xml:space="preserve">constant at 82.95% and 17.05% for benchmarks and </w:t>
      </w:r>
      <w:proofErr w:type="spellStart"/>
      <w:r w:rsidRPr="00B30E74">
        <w:rPr>
          <w:rFonts w:ascii="Segoe UI" w:eastAsia="Times New Roman" w:hAnsi="Segoe UI" w:cs="Segoe UI"/>
          <w:color w:val="24292E"/>
          <w:sz w:val="24"/>
          <w:szCs w:val="24"/>
        </w:rPr>
        <w:t>lstm</w:t>
      </w:r>
      <w:proofErr w:type="spellEnd"/>
      <w:r w:rsidRPr="00B30E74">
        <w:rPr>
          <w:rFonts w:ascii="Segoe UI" w:eastAsia="Times New Roman" w:hAnsi="Segoe UI" w:cs="Segoe UI"/>
          <w:color w:val="24292E"/>
          <w:sz w:val="24"/>
          <w:szCs w:val="24"/>
        </w:rPr>
        <w:t xml:space="preserve"> model)</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Validation Sets (kept constant at 0.05% of training sets)</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Batch Size (how many time steps to include during a single training step; kept at</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xml:space="preserve">1 for basic </w:t>
      </w:r>
      <w:proofErr w:type="spellStart"/>
      <w:r w:rsidRPr="00B30E74">
        <w:rPr>
          <w:rFonts w:ascii="Segoe UI" w:eastAsia="Times New Roman" w:hAnsi="Segoe UI" w:cs="Segoe UI"/>
          <w:color w:val="24292E"/>
          <w:sz w:val="24"/>
          <w:szCs w:val="24"/>
        </w:rPr>
        <w:t>lstm</w:t>
      </w:r>
      <w:proofErr w:type="spellEnd"/>
      <w:r w:rsidRPr="00B30E74">
        <w:rPr>
          <w:rFonts w:ascii="Segoe UI" w:eastAsia="Times New Roman" w:hAnsi="Segoe UI" w:cs="Segoe UI"/>
          <w:color w:val="24292E"/>
          <w:sz w:val="24"/>
          <w:szCs w:val="24"/>
        </w:rPr>
        <w:t xml:space="preserve"> model and at 512 for improved </w:t>
      </w:r>
      <w:proofErr w:type="spellStart"/>
      <w:r w:rsidRPr="00B30E74">
        <w:rPr>
          <w:rFonts w:ascii="Segoe UI" w:eastAsia="Times New Roman" w:hAnsi="Segoe UI" w:cs="Segoe UI"/>
          <w:color w:val="24292E"/>
          <w:sz w:val="24"/>
          <w:szCs w:val="24"/>
        </w:rPr>
        <w:t>lstm</w:t>
      </w:r>
      <w:proofErr w:type="spellEnd"/>
      <w:r w:rsidRPr="00B30E74">
        <w:rPr>
          <w:rFonts w:ascii="Segoe UI" w:eastAsia="Times New Roman" w:hAnsi="Segoe UI" w:cs="Segoe UI"/>
          <w:color w:val="24292E"/>
          <w:sz w:val="24"/>
          <w:szCs w:val="24"/>
        </w:rPr>
        <w:t xml:space="preserve"> model)</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Optimizer Function (which function to optimize by minimizing error; used</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“Adam” throughout)</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 Epochs (how many times to run through the training process; kept at 1 for base</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8 Recurrent Neural Network</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lastRenderedPageBreak/>
        <w:t>9 Long-Short Term Memory</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STOCK PRICE PREDICTION RAJAT DHYANI</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Using LSTM MLND Capstone Project</w:t>
      </w:r>
    </w:p>
    <w:p w:rsidR="00B30E74" w:rsidRPr="00B30E74"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8</w:t>
      </w:r>
    </w:p>
    <w:p w:rsidR="001D3DBA" w:rsidRDefault="00B30E74" w:rsidP="00B30E74">
      <w:pPr>
        <w:spacing w:after="240" w:line="240" w:lineRule="auto"/>
        <w:rPr>
          <w:rFonts w:ascii="Segoe UI" w:eastAsia="Times New Roman" w:hAnsi="Segoe UI" w:cs="Segoe UI"/>
          <w:color w:val="24292E"/>
          <w:sz w:val="24"/>
          <w:szCs w:val="24"/>
        </w:rPr>
      </w:pPr>
      <w:r w:rsidRPr="00B30E74">
        <w:rPr>
          <w:rFonts w:ascii="Segoe UI" w:eastAsia="Times New Roman" w:hAnsi="Segoe UI" w:cs="Segoe UI"/>
          <w:color w:val="24292E"/>
          <w:sz w:val="24"/>
          <w:szCs w:val="24"/>
        </w:rPr>
        <w:t>model and at 20 for improved LSTM)</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A benchmark in forecast performance provides a point of comparison If a model achieves performance at or below the benchmark, the technique should be fixed or abandoned. Three properties of a good technique for making a benchmark forecast are: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Simple: A method that requires little or no training or intelligence.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Fast: A method that is fast to implement and computationally trivial to make a prediction.</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current time step (t) to predict the expected outcome at the next time step (t+1).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5A2695">
        <w:rPr>
          <w:rFonts w:ascii="Segoe UI" w:eastAsia="Times New Roman" w:hAnsi="Segoe UI" w:cs="Segoe UI"/>
          <w:color w:val="24292E"/>
          <w:sz w:val="24"/>
          <w:szCs w:val="24"/>
        </w:rPr>
        <w:lastRenderedPageBreak/>
        <w:t>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lastRenderedPageBreak/>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5A2695">
        <w:rPr>
          <w:rFonts w:ascii="Segoe UI" w:eastAsia="Times New Roman" w:hAnsi="Segoe UI" w:cs="Segoe UI"/>
          <w:color w:val="24292E"/>
          <w:sz w:val="24"/>
          <w:szCs w:val="24"/>
        </w:rPr>
        <w:lastRenderedPageBreak/>
        <w:t>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363" w:rsidRDefault="00A26363" w:rsidP="00273519">
      <w:pPr>
        <w:spacing w:after="0" w:line="240" w:lineRule="auto"/>
      </w:pPr>
      <w:r>
        <w:separator/>
      </w:r>
    </w:p>
  </w:endnote>
  <w:endnote w:type="continuationSeparator" w:id="0">
    <w:p w:rsidR="00A26363" w:rsidRDefault="00A26363"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363" w:rsidRDefault="00A26363" w:rsidP="00273519">
      <w:pPr>
        <w:spacing w:after="0" w:line="240" w:lineRule="auto"/>
      </w:pPr>
      <w:r>
        <w:separator/>
      </w:r>
    </w:p>
  </w:footnote>
  <w:footnote w:type="continuationSeparator" w:id="0">
    <w:p w:rsidR="00A26363" w:rsidRDefault="00A26363"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27CF0"/>
    <w:multiLevelType w:val="hybridMultilevel"/>
    <w:tmpl w:val="95C6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6"/>
  </w:num>
  <w:num w:numId="4">
    <w:abstractNumId w:val="8"/>
  </w:num>
  <w:num w:numId="5">
    <w:abstractNumId w:val="0"/>
  </w:num>
  <w:num w:numId="6">
    <w:abstractNumId w:val="5"/>
  </w:num>
  <w:num w:numId="7">
    <w:abstractNumId w:val="15"/>
  </w:num>
  <w:num w:numId="8">
    <w:abstractNumId w:val="2"/>
  </w:num>
  <w:num w:numId="9">
    <w:abstractNumId w:val="13"/>
  </w:num>
  <w:num w:numId="10">
    <w:abstractNumId w:val="7"/>
  </w:num>
  <w:num w:numId="11">
    <w:abstractNumId w:val="10"/>
  </w:num>
  <w:num w:numId="12">
    <w:abstractNumId w:val="1"/>
  </w:num>
  <w:num w:numId="13">
    <w:abstractNumId w:val="12"/>
  </w:num>
  <w:num w:numId="14">
    <w:abstractNumId w:val="17"/>
  </w:num>
  <w:num w:numId="15">
    <w:abstractNumId w:val="11"/>
  </w:num>
  <w:num w:numId="16">
    <w:abstractNumId w:val="3"/>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95"/>
    <w:rsid w:val="00036BBF"/>
    <w:rsid w:val="00075AA1"/>
    <w:rsid w:val="000767A5"/>
    <w:rsid w:val="000D73A8"/>
    <w:rsid w:val="00156BE3"/>
    <w:rsid w:val="001D3DBA"/>
    <w:rsid w:val="001E0639"/>
    <w:rsid w:val="0021299C"/>
    <w:rsid w:val="00273519"/>
    <w:rsid w:val="002B2E62"/>
    <w:rsid w:val="002E02AA"/>
    <w:rsid w:val="00326893"/>
    <w:rsid w:val="00410A45"/>
    <w:rsid w:val="004454C1"/>
    <w:rsid w:val="00494E67"/>
    <w:rsid w:val="004B0441"/>
    <w:rsid w:val="005050A1"/>
    <w:rsid w:val="00543E6C"/>
    <w:rsid w:val="00567546"/>
    <w:rsid w:val="005755FA"/>
    <w:rsid w:val="005A2695"/>
    <w:rsid w:val="00605F48"/>
    <w:rsid w:val="00651219"/>
    <w:rsid w:val="006F680D"/>
    <w:rsid w:val="00702D87"/>
    <w:rsid w:val="007A7727"/>
    <w:rsid w:val="007F0173"/>
    <w:rsid w:val="007F585A"/>
    <w:rsid w:val="00807B10"/>
    <w:rsid w:val="008A0A68"/>
    <w:rsid w:val="008E0BDC"/>
    <w:rsid w:val="008E29D1"/>
    <w:rsid w:val="008E7FBC"/>
    <w:rsid w:val="008F6D7A"/>
    <w:rsid w:val="00A12B6C"/>
    <w:rsid w:val="00A22F41"/>
    <w:rsid w:val="00A26363"/>
    <w:rsid w:val="00A4349F"/>
    <w:rsid w:val="00B30E74"/>
    <w:rsid w:val="00B3263E"/>
    <w:rsid w:val="00B40819"/>
    <w:rsid w:val="00C72666"/>
    <w:rsid w:val="00D4457B"/>
    <w:rsid w:val="00D478AE"/>
    <w:rsid w:val="00D7380F"/>
    <w:rsid w:val="00D80EB0"/>
    <w:rsid w:val="00E11510"/>
    <w:rsid w:val="00E5046D"/>
    <w:rsid w:val="00E53B20"/>
    <w:rsid w:val="00EA4E57"/>
    <w:rsid w:val="00EB3AB3"/>
    <w:rsid w:val="00F76CF1"/>
    <w:rsid w:val="00F90778"/>
    <w:rsid w:val="00FA48F3"/>
    <w:rsid w:val="00FC12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6B4F"/>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styleId="UnresolvedMention">
    <w:name w:val="Unresolved Mention"/>
    <w:basedOn w:val="DefaultParagraphFont"/>
    <w:uiPriority w:val="99"/>
    <w:semiHidden/>
    <w:unhideWhenUsed/>
    <w:rsid w:val="00605F48"/>
    <w:rPr>
      <w:color w:val="605E5C"/>
      <w:shd w:val="clear" w:color="auto" w:fill="E1DFDD"/>
    </w:rPr>
  </w:style>
  <w:style w:type="paragraph" w:styleId="Caption">
    <w:name w:val="caption"/>
    <w:basedOn w:val="Normal"/>
    <w:next w:val="Normal"/>
    <w:uiPriority w:val="35"/>
    <w:unhideWhenUsed/>
    <w:qFormat/>
    <w:rsid w:val="00C72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quandl.com/data/CFTC/002602_F_ALL-Commitment-of-Traders-CORN-CBT-Futures-Only-00260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17</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Zilvinas Marozas</cp:lastModifiedBy>
  <cp:revision>28</cp:revision>
  <dcterms:created xsi:type="dcterms:W3CDTF">2018-07-23T20:02:00Z</dcterms:created>
  <dcterms:modified xsi:type="dcterms:W3CDTF">2018-08-13T01:26:00Z</dcterms:modified>
</cp:coreProperties>
</file>