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Configuración y Parámetros</w:t>
      </w:r>
    </w:p>
    <w:p>
      <w:r>
        <w:rPr>
          <w:color w:val="444444"/>
          <w:sz w:val="24"/>
        </w:rPr>
        <w:t>Archivo config.yaml de NimbusOS 4.x</w:t>
      </w:r>
    </w:p>
    <w:p>
      <w:r>
        <w:rPr>
          <w:b/>
          <w:sz w:val="19"/>
        </w:rPr>
        <w:t>Código:</w:t>
      </w:r>
      <w:r>
        <w:rPr>
          <w:sz w:val="19"/>
        </w:rPr>
        <w:t xml:space="preserve"> NE-220    </w:t>
      </w:r>
      <w:r>
        <w:rPr>
          <w:b/>
          <w:sz w:val="19"/>
        </w:rPr>
        <w:t>Versión:</w:t>
      </w:r>
      <w:r>
        <w:rPr>
          <w:sz w:val="19"/>
        </w:rPr>
        <w:t xml:space="preserve"> 4.2    </w:t>
      </w:r>
      <w:r>
        <w:rPr>
          <w:b/>
          <w:sz w:val="19"/>
        </w:rPr>
        <w:t>Fecha:</w:t>
      </w:r>
      <w:r>
        <w:rPr>
          <w:sz w:val="19"/>
        </w:rPr>
        <w:t xml:space="preserve"> 2026-09-22</w:t>
      </w:r>
    </w:p>
    <w:p>
      <w:r>
        <w:rPr>
          <w:b/>
          <w:sz w:val="19"/>
        </w:rPr>
        <w:t>Público objetivo:</w:t>
      </w:r>
      <w:r>
        <w:rPr>
          <w:sz w:val="19"/>
        </w:rPr>
        <w:t xml:space="preserve"> Ingenieros de integración y administradores</w:t>
      </w:r>
    </w:p>
    <w:p>
      <w:pPr>
        <w:pStyle w:val="Heading1"/>
      </w:pPr>
      <w:r>
        <w:t>1. Introducción</w:t>
      </w:r>
    </w:p>
    <w:p>
      <w:r>
        <w:t xml:space="preserve">La configuración de un gateway Nimbus Edge se define en el archivo YAML </w:t>
      </w:r>
      <w:r>
        <w:rPr>
          <w:rFonts w:ascii="Consolas" w:hAnsi="Consolas" w:eastAsia="Consolas"/>
          <w:sz w:val="18"/>
        </w:rPr>
        <w:t>/etc/nimbus/config.yaml</w:t>
      </w:r>
      <w:r>
        <w:t>. Este documento lista todos los parámetros, sus valores por defecto y sus rangos admitidos para NimbusOS 4.2.x.</w:t>
      </w:r>
    </w:p>
    <w:p>
      <w:r>
        <w:t xml:space="preserve">Antes de aplicar cambios se recomienda validar el archivo con </w:t>
      </w:r>
      <w:r>
        <w:rPr>
          <w:rFonts w:ascii="Consolas" w:hAnsi="Consolas" w:eastAsia="Consolas"/>
          <w:sz w:val="18"/>
        </w:rPr>
        <w:t>nbctl config validate</w:t>
      </w:r>
      <w:r>
        <w:t xml:space="preserve"> y luego aplicarlo con </w:t>
      </w:r>
      <w:r>
        <w:rPr>
          <w:rFonts w:ascii="Consolas" w:hAnsi="Consolas" w:eastAsia="Consolas"/>
          <w:sz w:val="18"/>
        </w:rPr>
        <w:t>nbctl config apply</w:t>
      </w:r>
      <w:r>
        <w:t xml:space="preserve">. Si algún valor está fuera de rango, la validación falla con el código </w:t>
      </w:r>
      <w:r>
        <w:rPr>
          <w:b/>
        </w:rPr>
        <w:t>NE-E5020</w:t>
      </w:r>
      <w:r>
        <w:t xml:space="preserve"> y el equipo conserva la última configuración válida.</w:t>
      </w:r>
    </w:p>
    <w:p>
      <w:pPr>
        <w:pStyle w:val="Heading2"/>
      </w:pPr>
      <w:r>
        <w:t>1.1 Prioridad de la configuración</w:t>
      </w:r>
    </w:p>
    <w:p>
      <w:r>
        <w:t xml:space="preserve">La configuración remota enviada desde Nimbus Cloud (comando </w:t>
      </w:r>
      <w:r>
        <w:rPr>
          <w:rFonts w:ascii="Consolas" w:hAnsi="Consolas" w:eastAsia="Consolas"/>
          <w:sz w:val="18"/>
        </w:rPr>
        <w:t>sync_config</w:t>
      </w:r>
      <w:r>
        <w:t xml:space="preserve"> o </w:t>
      </w:r>
      <w:r>
        <w:rPr>
          <w:rFonts w:ascii="Consolas" w:hAnsi="Consolas" w:eastAsia="Consolas"/>
          <w:sz w:val="18"/>
        </w:rPr>
        <w:t>PUT /v3/devices/{device_id}/config</w:t>
      </w:r>
      <w:r>
        <w:t xml:space="preserve">) tiene prioridad sobre el archivo local, salvo para las claves marcadas como </w:t>
      </w:r>
      <w:r>
        <w:rPr>
          <w:rFonts w:ascii="Consolas" w:hAnsi="Consolas" w:eastAsia="Consolas"/>
          <w:sz w:val="18"/>
        </w:rPr>
        <w:t>local_only</w:t>
      </w:r>
      <w:r>
        <w:t xml:space="preserve"> en este documento, que solo pueden modificarse localmente.</w:t>
      </w:r>
    </w:p>
    <w:p>
      <w:pPr>
        <w:pStyle w:val="Heading1"/>
      </w:pPr>
      <w:r>
        <w:t>2. Estructura del archivo</w:t>
      </w:r>
    </w:p>
    <w:p>
      <w:pPr>
        <w:shd w:val="clear" w:color="auto" w:fill="F3F4F6"/>
        <w:spacing w:after="160" w:line="240" w:lineRule="auto"/>
      </w:pPr>
      <w:r>
        <w:rPr>
          <w:rFonts w:ascii="Consolas" w:hAnsi="Consolas" w:eastAsia="Consolas"/>
          <w:sz w:val="17"/>
        </w:rPr>
        <w:t>mqtt:</w:t>
        <w:br/>
        <w:t xml:space="preserve">  broker_url: mqtts://mqtt.nimbus-edge.example.com:8883</w:t>
        <w:br/>
        <w:t xml:space="preserve">  keepalive_interval: 30</w:t>
        <w:br/>
        <w:t xml:space="preserve">  qos: 1</w:t>
        <w:br/>
        <w:t>telemetry:</w:t>
        <w:br/>
        <w:t xml:space="preserve">  sample_interval_ms: 1000</w:t>
        <w:br/>
        <w:t xml:space="preserve">  batch_size: 50</w:t>
        <w:br/>
        <w:t xml:space="preserve">  buffer_max_mb: 256</w:t>
        <w:br/>
        <w:t xml:space="preserve">  buffer_policy: drop_oldest</w:t>
        <w:br/>
        <w:t>network:</w:t>
        <w:br/>
        <w:t xml:space="preserve">  wan:</w:t>
        <w:br/>
        <w:t xml:space="preserve">    mode: dhcp</w:t>
        <w:br/>
        <w:t xml:space="preserve">    failover_timeout_s: 45</w:t>
        <w:br/>
        <w:t>security:</w:t>
        <w:br/>
        <w:t xml:space="preserve">  tls_min_version: "1.2"</w:t>
        <w:br/>
        <w:t xml:space="preserve">  cert_rotation_days: 90</w:t>
        <w:br/>
        <w:t>watchdog:</w:t>
        <w:br/>
        <w:t xml:space="preserve">  enabled: true</w:t>
        <w:br/>
        <w:t xml:space="preserve">  timeout_s: 60</w:t>
      </w:r>
    </w:p>
    <w:p>
      <w:pPr>
        <w:pStyle w:val="Heading1"/>
      </w:pPr>
      <w:r>
        <w:t>3. Parámetros por sección</w:t>
      </w:r>
    </w:p>
    <w:p>
      <w:pPr>
        <w:pStyle w:val="Heading2"/>
      </w:pPr>
      <w:r>
        <w:t>3.1 Sección mqtt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907"/>
        <w:gridCol w:w="2211"/>
        <w:gridCol w:w="1020"/>
        <w:gridCol w:w="3118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1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Rango / valores</w:t>
            </w:r>
          </w:p>
        </w:tc>
        <w:tc>
          <w:tcPr>
            <w:tcW w:type="dxa" w:w="311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mqtt.broker_url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mqtts://mqtt.nimbus-edge.example.com:8883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URL mqtts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Dirección del broker. El puerto 1883 sin TLS está deshabilitado.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mqtt.keepalive_interval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 (s)</w:t>
            </w:r>
          </w:p>
        </w:tc>
        <w:tc>
          <w:tcPr>
            <w:tcW w:type="dxa" w:w="221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10 a 300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Intervalo de keepalive con el broker. Era 60 en NimbusOS 4.0 y 4.1.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mqtt.qos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0, 1 o 2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Calidad de servicio de las publicaciones de telemetría.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mqtt.clean_session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221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Si es false, el broker conserva la sesión entre reconexiones.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mqtt.max_inflight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 a 100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Máximo de mensajes publicados sin confirmar.</w:t>
            </w:r>
          </w:p>
        </w:tc>
      </w:tr>
    </w:tbl>
    <w:p>
      <w:pPr>
        <w:spacing w:after="40"/>
      </w:pPr>
    </w:p>
    <w:p>
      <w:pPr>
        <w:pStyle w:val="Heading2"/>
      </w:pPr>
      <w:r>
        <w:t>3.2 Sección telemetry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964"/>
        <w:gridCol w:w="1417"/>
        <w:gridCol w:w="1701"/>
        <w:gridCol w:w="2721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Rango / valores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telemetry.sample_interval_ms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entero (ms)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1000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100 a 60000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sz w:val="18"/>
              </w:rPr>
              <w:t>Frecuencia de muestreo de las fuentes.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telemetry.batch_size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 a 500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Cantidad de muestras por lote publicado.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telemetry.buffer_max_mb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entero (MB)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256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16 a 1024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sz w:val="18"/>
              </w:rPr>
              <w:t>Tamaño máximo del buffer persistente sin conexión.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telemetry.buffer_policy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drop_oldest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drop_oldest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drop_newest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block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Qué hacer cuando el buffer se llena (NE-E1042). Disponible desde 4.2.0.</w:t>
            </w:r>
          </w:p>
        </w:tc>
      </w:tr>
    </w:tbl>
    <w:p>
      <w:pPr>
        <w:spacing w:after="40"/>
      </w:pPr>
    </w:p>
    <w:p>
      <w:pPr>
        <w:pStyle w:val="Heading2"/>
      </w:pPr>
      <w:r>
        <w:t>3.3 Sección network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907"/>
        <w:gridCol w:w="1814"/>
        <w:gridCol w:w="1304"/>
        <w:gridCol w:w="2608"/>
      </w:tblGrid>
      <w:tr>
        <w:trPr>
          <w:tblHeader w:val="true"/>
        </w:trPr>
        <w:tc>
          <w:tcPr>
            <w:tcW w:type="dxa" w:w="300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Rango / valores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network.wan.mode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dhcp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dhcp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static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lte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 xml:space="preserve">Modo de la interfaz WAN. </w:t>
            </w:r>
            <w:r>
              <w:rPr>
                <w:rFonts w:ascii="Consolas" w:hAnsi="Consolas" w:eastAsia="Consolas"/>
                <w:sz w:val="15"/>
              </w:rPr>
              <w:t>lte</w:t>
            </w:r>
            <w:r>
              <w:rPr>
                <w:sz w:val="18"/>
              </w:rPr>
              <w:t xml:space="preserve"> solo en GX-200L.</w:t>
            </w:r>
          </w:p>
        </w:tc>
      </w:tr>
      <w:tr>
        <w:tc>
          <w:tcPr>
            <w:tcW w:type="dxa" w:w="3005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network.wan.failover_timeout_s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 (s)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130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10 a 600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Tiempo sin enlace WAN antes de conmutar a LTE (NE-E4004).</w:t>
            </w:r>
          </w:p>
        </w:tc>
      </w:tr>
      <w:tr>
        <w:tc>
          <w:tcPr>
            <w:tcW w:type="dxa" w:w="3005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network.lan.dhcp_range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192.168.88.100-192.168.88.199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Rango IPv4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 xml:space="preserve">Rango entregado por DHCP en ETH1. </w:t>
            </w:r>
            <w:r>
              <w:rPr>
                <w:rFonts w:ascii="Consolas" w:hAnsi="Consolas" w:eastAsia="Consolas"/>
                <w:sz w:val="15"/>
              </w:rPr>
              <w:t>local_only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3.4 Sección 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907"/>
        <w:gridCol w:w="1020"/>
        <w:gridCol w:w="1417"/>
        <w:gridCol w:w="3572"/>
      </w:tblGrid>
      <w:tr>
        <w:trPr>
          <w:tblHeader w:val="true"/>
        </w:trPr>
        <w:tc>
          <w:tcPr>
            <w:tcW w:type="dxa" w:w="272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Rango / valores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security.tls_min_version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1.2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1.2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1.3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8"/>
              </w:rPr>
              <w:t xml:space="preserve">Versión mínima de TLS. El valor </w:t>
            </w:r>
            <w:r>
              <w:rPr>
                <w:rFonts w:ascii="Consolas" w:hAnsi="Consolas" w:eastAsia="Consolas"/>
                <w:sz w:val="15"/>
              </w:rPr>
              <w:t>1.1</w:t>
            </w:r>
            <w:r>
              <w:rPr>
                <w:sz w:val="18"/>
              </w:rPr>
              <w:t xml:space="preserve"> fue eliminado en 4.2.0.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security.cert_rotation_days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90</w:t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30 a 365</w:t>
            </w:r>
          </w:p>
        </w:tc>
        <w:tc>
          <w:tcPr>
            <w:tcW w:type="dxa" w:w="357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Frecuencia de rotación del certificado del dispositivo.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security.ssh.enabled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8"/>
              </w:rPr>
              <w:t xml:space="preserve">Habilita el acceso SSH. </w:t>
            </w:r>
            <w:r>
              <w:rPr>
                <w:rFonts w:ascii="Consolas" w:hAnsi="Consolas" w:eastAsia="Consolas"/>
                <w:sz w:val="15"/>
              </w:rPr>
              <w:t>local_only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security.ssh.port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2222</w:t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1024 a 65535</w:t>
            </w:r>
          </w:p>
        </w:tc>
        <w:tc>
          <w:tcPr>
            <w:tcW w:type="dxa" w:w="357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 xml:space="preserve">Puerto de escucha de SSH. </w:t>
            </w:r>
            <w:r>
              <w:rPr>
                <w:rFonts w:ascii="Consolas" w:hAnsi="Consolas" w:eastAsia="Consolas"/>
                <w:sz w:val="15"/>
              </w:rPr>
              <w:t>local_only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security.buffer_encryption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8"/>
              </w:rPr>
              <w:t>Cifra el buffer de telemetría con AES-256-GCM.</w:t>
            </w:r>
          </w:p>
        </w:tc>
      </w:tr>
    </w:tbl>
    <w:p>
      <w:pPr>
        <w:spacing w:after="40"/>
      </w:pPr>
    </w:p>
    <w:p>
      <w:pPr>
        <w:pStyle w:val="Heading2"/>
      </w:pPr>
      <w:r>
        <w:t>3.5 Sección modbus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964"/>
        <w:gridCol w:w="964"/>
        <w:gridCol w:w="1247"/>
        <w:gridCol w:w="4025"/>
      </w:tblGrid>
      <w:tr>
        <w:trPr>
          <w:tblHeader w:val="true"/>
        </w:trPr>
        <w:tc>
          <w:tcPr>
            <w:tcW w:type="dxa" w:w="243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Rango / valores</w:t>
            </w:r>
          </w:p>
        </w:tc>
        <w:tc>
          <w:tcPr>
            <w:tcW w:type="dxa" w:w="402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modbus.poll_interval_ms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entero (ms)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100 a 60000</w:t>
            </w:r>
          </w:p>
        </w:tc>
        <w:tc>
          <w:tcPr>
            <w:tcW w:type="dxa" w:w="4025"/>
          </w:tcPr>
          <w:p>
            <w:pPr>
              <w:spacing w:after="40"/>
            </w:pPr>
            <w:r>
              <w:rPr>
                <w:sz w:val="18"/>
              </w:rPr>
              <w:t>Intervalo de sondeo de los esclavos. Con valores menores a 200 conviene usar 4.2.1 o superior.</w:t>
            </w:r>
          </w:p>
        </w:tc>
      </w:tr>
      <w:tr>
        <w:tc>
          <w:tcPr>
            <w:tcW w:type="dxa" w:w="2438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modbus.timeout_ms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 (ms)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1500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200 a 10000</w:t>
            </w:r>
          </w:p>
        </w:tc>
        <w:tc>
          <w:tcPr>
            <w:tcW w:type="dxa" w:w="402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Tiempo máximo de espera de una respuesta.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modbus.retries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0 a 10</w:t>
            </w:r>
          </w:p>
        </w:tc>
        <w:tc>
          <w:tcPr>
            <w:tcW w:type="dxa" w:w="4025"/>
          </w:tcPr>
          <w:p>
            <w:pPr>
              <w:spacing w:after="40"/>
            </w:pPr>
            <w:r>
              <w:rPr>
                <w:sz w:val="18"/>
              </w:rPr>
              <w:t>Reintentos antes de declarar NE-E2003.</w:t>
            </w:r>
          </w:p>
        </w:tc>
      </w:tr>
    </w:tbl>
    <w:p>
      <w:pPr>
        <w:spacing w:after="40"/>
      </w:pPr>
    </w:p>
    <w:p>
      <w:pPr>
        <w:pStyle w:val="Heading2"/>
      </w:pPr>
      <w:r>
        <w:t>3.6 Secciones watchdog, logging y ota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964"/>
        <w:gridCol w:w="1304"/>
        <w:gridCol w:w="192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Rango / valores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watchdog.enabled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Activa el watchdog de software.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watchdog.timeout_s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 (s)</w:t>
            </w:r>
          </w:p>
        </w:tc>
        <w:tc>
          <w:tcPr>
            <w:tcW w:type="dxa" w:w="130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10 a 300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 xml:space="preserve">Tiempo sin respuesta de </w:t>
            </w:r>
            <w:r>
              <w:rPr>
                <w:rFonts w:ascii="Consolas" w:hAnsi="Consolas" w:eastAsia="Consolas"/>
                <w:sz w:val="15"/>
              </w:rPr>
              <w:t>nimbusd</w:t>
            </w:r>
            <w:r>
              <w:rPr>
                <w:sz w:val="18"/>
              </w:rPr>
              <w:t xml:space="preserve"> antes del reinicio (NE-E2007).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logging.level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info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debug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info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error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Nivel de detalle del registro.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logging.max_size_mb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 (MB)</w:t>
            </w:r>
          </w:p>
        </w:tc>
        <w:tc>
          <w:tcPr>
            <w:tcW w:type="dxa" w:w="130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 a 100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Tamaño máximo de cada archivo de registro.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logging.max_files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entero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 a 20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Cantidad de archivos rotados que se conservan.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ota.channel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30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stable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beta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Canal de firmware.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ota.auto_update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booleano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Instala automáticamente nuevas versiones del canal.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ota.window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cadena</w:t>
            </w:r>
          </w:p>
        </w:tc>
        <w:tc>
          <w:tcPr>
            <w:tcW w:type="dxa" w:w="130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02:00-04:00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HH:MM-HH:MM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Ventana de mantenimiento en hora local del dispositivo.</w:t>
            </w:r>
          </w:p>
        </w:tc>
      </w:tr>
    </w:tbl>
    <w:p>
      <w:pPr>
        <w:spacing w:after="40"/>
      </w:pPr>
    </w:p>
    <w:p>
      <w:pPr>
        <w:pStyle w:val="Heading1"/>
      </w:pPr>
      <w:r>
        <w:t>4. Valores recomendados por escenario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6724"/>
      </w:tblGrid>
      <w:tr>
        <w:trPr>
          <w:tblHeader w:val="true"/>
        </w:trPr>
        <w:tc>
          <w:tcPr>
            <w:tcW w:type="dxa" w:w="291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67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Ajustes sugeridos</w:t>
            </w:r>
          </w:p>
        </w:tc>
      </w:tr>
      <w:tr>
        <w:tc>
          <w:tcPr>
            <w:tcW w:type="dxa" w:w="2914"/>
          </w:tcPr>
          <w:p>
            <w:pPr>
              <w:spacing w:after="40"/>
            </w:pPr>
            <w:r>
              <w:rPr>
                <w:sz w:val="18"/>
              </w:rPr>
              <w:t>Enlace celular de bajo ancho de banda</w:t>
            </w:r>
          </w:p>
        </w:tc>
        <w:tc>
          <w:tcPr>
            <w:tcW w:type="dxa" w:w="672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telemetry.sample_interval_ms</w:t>
            </w:r>
            <w:r>
              <w:rPr>
                <w:sz w:val="18"/>
              </w:rPr>
              <w:t xml:space="preserve"> 5000, </w:t>
            </w:r>
            <w:r>
              <w:rPr>
                <w:rFonts w:ascii="Consolas" w:hAnsi="Consolas" w:eastAsia="Consolas"/>
                <w:sz w:val="15"/>
              </w:rPr>
              <w:t>telemetry.batch_size</w:t>
            </w:r>
            <w:r>
              <w:rPr>
                <w:sz w:val="18"/>
              </w:rPr>
              <w:t xml:space="preserve"> 200, </w:t>
            </w:r>
            <w:r>
              <w:rPr>
                <w:rFonts w:ascii="Consolas" w:hAnsi="Consolas" w:eastAsia="Consolas"/>
                <w:sz w:val="15"/>
              </w:rPr>
              <w:t>mqtt.keepalive_interval</w:t>
            </w:r>
            <w:r>
              <w:rPr>
                <w:sz w:val="18"/>
              </w:rPr>
              <w:t xml:space="preserve"> 60</w:t>
            </w:r>
          </w:p>
        </w:tc>
      </w:tr>
      <w:tr>
        <w:tc>
          <w:tcPr>
            <w:tcW w:type="dxa" w:w="291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Planta con latencia crítica</w:t>
            </w:r>
          </w:p>
        </w:tc>
        <w:tc>
          <w:tcPr>
            <w:tcW w:type="dxa" w:w="672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telemetry.sample_interval_ms</w:t>
            </w:r>
            <w:r>
              <w:rPr>
                <w:sz w:val="18"/>
              </w:rPr>
              <w:t xml:space="preserve"> 250, </w:t>
            </w:r>
            <w:r>
              <w:rPr>
                <w:rFonts w:ascii="Consolas" w:hAnsi="Consolas" w:eastAsia="Consolas"/>
                <w:sz w:val="15"/>
              </w:rPr>
              <w:t>telemetry.batch_size</w:t>
            </w:r>
            <w:r>
              <w:rPr>
                <w:sz w:val="18"/>
              </w:rPr>
              <w:t xml:space="preserve"> 20, </w:t>
            </w:r>
            <w:r>
              <w:rPr>
                <w:rFonts w:ascii="Consolas" w:hAnsi="Consolas" w:eastAsia="Consolas"/>
                <w:sz w:val="15"/>
              </w:rPr>
              <w:t>mqtt.qos</w:t>
            </w:r>
            <w:r>
              <w:rPr>
                <w:sz w:val="18"/>
              </w:rPr>
              <w:t xml:space="preserve"> 1</w:t>
            </w:r>
          </w:p>
        </w:tc>
      </w:tr>
      <w:tr>
        <w:tc>
          <w:tcPr>
            <w:tcW w:type="dxa" w:w="2914"/>
          </w:tcPr>
          <w:p>
            <w:pPr>
              <w:spacing w:after="40"/>
            </w:pPr>
            <w:r>
              <w:rPr>
                <w:sz w:val="18"/>
              </w:rPr>
              <w:t>Sitio con cortes frecuentes de red</w:t>
            </w:r>
          </w:p>
        </w:tc>
        <w:tc>
          <w:tcPr>
            <w:tcW w:type="dxa" w:w="672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telemetry.buffer_max_mb</w:t>
            </w:r>
            <w:r>
              <w:rPr>
                <w:sz w:val="18"/>
              </w:rPr>
              <w:t xml:space="preserve"> 512, </w:t>
            </w:r>
            <w:r>
              <w:rPr>
                <w:rFonts w:ascii="Consolas" w:hAnsi="Consolas" w:eastAsia="Consolas"/>
                <w:sz w:val="15"/>
              </w:rPr>
              <w:t>telemetry.buffer_policy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5"/>
              </w:rPr>
              <w:t>drop_oldest</w:t>
            </w:r>
          </w:p>
        </w:tc>
      </w:tr>
      <w:tr>
        <w:tc>
          <w:tcPr>
            <w:tcW w:type="dxa" w:w="291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Entorno con requisitos de cumplimiento</w:t>
            </w:r>
          </w:p>
        </w:tc>
        <w:tc>
          <w:tcPr>
            <w:tcW w:type="dxa" w:w="672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security.tls_min_version</w:t>
            </w:r>
            <w:r>
              <w:rPr>
                <w:sz w:val="18"/>
              </w:rPr>
              <w:t xml:space="preserve"> 1.3, </w:t>
            </w:r>
            <w:r>
              <w:rPr>
                <w:rFonts w:ascii="Consolas" w:hAnsi="Consolas" w:eastAsia="Consolas"/>
                <w:sz w:val="15"/>
              </w:rPr>
              <w:t>security.buffer_encryption</w:t>
            </w:r>
            <w:r>
              <w:rPr>
                <w:sz w:val="18"/>
              </w:rPr>
              <w:t xml:space="preserve"> true</w:t>
            </w:r>
          </w:p>
        </w:tc>
      </w:tr>
    </w:tbl>
    <w:p>
      <w:pPr>
        <w:spacing w:after="40"/>
      </w:pPr>
    </w:p>
    <w:p>
      <w:pPr>
        <w:pStyle w:val="Heading1"/>
      </w:pPr>
      <w:r>
        <w:t>5. Historial de cambios en valores por defecto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3362"/>
        <w:gridCol w:w="3362"/>
      </w:tblGrid>
      <w:tr>
        <w:trPr>
          <w:tblHeader w:val="true"/>
        </w:trPr>
        <w:tc>
          <w:tcPr>
            <w:tcW w:type="dxa" w:w="291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6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Antes de 4.2.0</w:t>
            </w:r>
          </w:p>
        </w:tc>
        <w:tc>
          <w:tcPr>
            <w:tcW w:type="dxa" w:w="336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Desde 4.2.0</w:t>
            </w:r>
          </w:p>
        </w:tc>
      </w:tr>
      <w:tr>
        <w:tc>
          <w:tcPr>
            <w:tcW w:type="dxa" w:w="291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mqtt.keepalive_interval</w:t>
            </w:r>
          </w:p>
        </w:tc>
        <w:tc>
          <w:tcPr>
            <w:tcW w:type="dxa" w:w="3362"/>
          </w:tcPr>
          <w:p>
            <w:pPr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3362"/>
          </w:tcPr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291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telemetry.buffer_policy</w:t>
            </w:r>
          </w:p>
        </w:tc>
        <w:tc>
          <w:tcPr>
            <w:tcW w:type="dxa" w:w="336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 xml:space="preserve">No existía (comportamiento equivalente a </w:t>
            </w:r>
            <w:r>
              <w:rPr>
                <w:rFonts w:ascii="Consolas" w:hAnsi="Consolas" w:eastAsia="Consolas"/>
                <w:sz w:val="15"/>
              </w:rPr>
              <w:t>drop_oldest</w:t>
            </w:r>
            <w:r>
              <w:rPr>
                <w:sz w:val="18"/>
              </w:rPr>
              <w:t>)</w:t>
            </w:r>
          </w:p>
        </w:tc>
        <w:tc>
          <w:tcPr>
            <w:tcW w:type="dxa" w:w="3362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drop_oldest</w:t>
            </w:r>
          </w:p>
        </w:tc>
      </w:tr>
      <w:tr>
        <w:tc>
          <w:tcPr>
            <w:tcW w:type="dxa" w:w="291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security.tls_min_version</w:t>
            </w:r>
          </w:p>
        </w:tc>
        <w:tc>
          <w:tcPr>
            <w:tcW w:type="dxa" w:w="3362"/>
          </w:tcPr>
          <w:p>
            <w:pPr>
              <w:spacing w:after="40"/>
            </w:pPr>
            <w:r>
              <w:rPr>
                <w:sz w:val="18"/>
              </w:rPr>
              <w:t>1.2 (se admitía 1.1)</w:t>
            </w:r>
          </w:p>
        </w:tc>
        <w:tc>
          <w:tcPr>
            <w:tcW w:type="dxa" w:w="3362"/>
          </w:tcPr>
          <w:p>
            <w:pPr>
              <w:spacing w:after="40"/>
            </w:pPr>
            <w:r>
              <w:rPr>
                <w:sz w:val="18"/>
              </w:rPr>
              <w:t>1.2 (1.1 eliminado)</w:t>
            </w:r>
          </w:p>
        </w:tc>
      </w:tr>
    </w:tbl>
    <w:p>
      <w:pPr>
        <w:spacing w:after="40"/>
      </w:pPr>
    </w:p>
    <w:p>
      <w:pPr>
        <w:pStyle w:val="Heading1"/>
      </w:pPr>
      <w:r>
        <w:t>6. Errores frecuentes de validación</w:t>
      </w:r>
    </w:p>
    <w:p>
      <w:pPr>
        <w:pStyle w:val="ListBullet"/>
      </w:pPr>
      <w:r>
        <w:rPr>
          <w:rFonts w:ascii="Consolas" w:hAnsi="Consolas" w:eastAsia="Consolas"/>
          <w:sz w:val="18"/>
        </w:rPr>
        <w:t>mqtt.keepalive_interval</w:t>
      </w:r>
      <w:r>
        <w:t xml:space="preserve"> menor a 10: rechazado con NE-E5020.</w:t>
      </w:r>
    </w:p>
    <w:p>
      <w:pPr>
        <w:pStyle w:val="ListBullet"/>
      </w:pPr>
      <w:r>
        <w:rPr>
          <w:rFonts w:ascii="Consolas" w:hAnsi="Consolas" w:eastAsia="Consolas"/>
          <w:sz w:val="18"/>
        </w:rPr>
        <w:t>telemetry.batch_size</w:t>
      </w:r>
      <w:r>
        <w:t xml:space="preserve"> mayor a 500: rechazado con NE-E5020.</w:t>
      </w:r>
    </w:p>
    <w:p>
      <w:pPr>
        <w:pStyle w:val="ListBullet"/>
      </w:pPr>
      <w:r>
        <w:rPr>
          <w:rFonts w:ascii="Consolas" w:hAnsi="Consolas" w:eastAsia="Consolas"/>
          <w:sz w:val="18"/>
        </w:rPr>
        <w:t>network.wan.mode: lte</w:t>
      </w:r>
      <w:r>
        <w:t xml:space="preserve"> en un GX-200 sin módem: se ignora y se registra una advertencia.</w:t>
      </w:r>
    </w:p>
    <w:p>
      <w:pPr>
        <w:pStyle w:val="ListBullet"/>
      </w:pPr>
      <w:r>
        <w:t>Indentación con tabulaciones: YAML solo admite espacios.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ficticio generado para pruebas de ingesta RAG  | 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6"/>
      </w:rPr>
      <w:t>Nimbus Edge | NE-220 | Guía de Configuración y Parámetros | v4.2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NE-220 - Guía de Configuración y Parámetros</dc:title>
  <dc:subject>Archivo config.yaml de NimbusOS 4.x</dc:subject>
  <dc:creator>Nimbus Edge - Documentación Técnica (ficticio)</dc:creator>
  <cp:keywords>Nimbus Edge, NE-220, documentación técnica</cp:keywords>
  <dc:description>Documento ficticio generado para pruebas de ingesta RAG</dc:description>
  <cp:lastModifiedBy>Nimbus Edge - Documentación Técnica (ficticio)</cp:lastModifiedBy>
  <cp:revision>1</cp:revision>
  <dcterms:created xsi:type="dcterms:W3CDTF">2026-09-22T00:00:00Z</dcterms:created>
  <dcterms:modified xsi:type="dcterms:W3CDTF">2026-09-22T00:00:00Z</dcterms:modified>
  <cp:category/>
  <dc:language>es</dc:language>
</cp:coreProperties>
</file>