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Integración MQTT y Modbus</w:t>
      </w:r>
    </w:p>
    <w:p>
      <w:r>
        <w:rPr>
          <w:color w:val="444444"/>
          <w:sz w:val="24"/>
        </w:rPr>
        <w:t>Conexión de equipos de campo y consumo de datos desde el broker</w:t>
      </w:r>
    </w:p>
    <w:p>
      <w:r>
        <w:rPr>
          <w:b/>
          <w:sz w:val="19"/>
        </w:rPr>
        <w:t>Código:</w:t>
      </w:r>
      <w:r>
        <w:rPr>
          <w:sz w:val="19"/>
        </w:rPr>
        <w:t xml:space="preserve"> NE-510    </w:t>
      </w:r>
      <w:r>
        <w:rPr>
          <w:b/>
          <w:sz w:val="19"/>
        </w:rPr>
        <w:t>Versión:</w:t>
      </w:r>
      <w:r>
        <w:rPr>
          <w:sz w:val="19"/>
        </w:rPr>
        <w:t xml:space="preserve"> 2.0    </w:t>
      </w:r>
      <w:r>
        <w:rPr>
          <w:b/>
          <w:sz w:val="19"/>
        </w:rPr>
        <w:t>Fecha:</w:t>
      </w:r>
      <w:r>
        <w:rPr>
          <w:sz w:val="19"/>
        </w:rPr>
        <w:t xml:space="preserve"> 2026-10-02</w:t>
      </w:r>
    </w:p>
    <w:p>
      <w:r>
        <w:rPr>
          <w:b/>
          <w:sz w:val="19"/>
        </w:rPr>
        <w:t>Público objetivo:</w:t>
      </w:r>
      <w:r>
        <w:rPr>
          <w:sz w:val="19"/>
        </w:rPr>
        <w:t xml:space="preserve"> Ingenieros de integración y automatización</w:t>
      </w:r>
    </w:p>
    <w:p>
      <w:pPr>
        <w:pStyle w:val="Heading1"/>
      </w:pPr>
      <w:r>
        <w:t>1. Introducción</w:t>
      </w:r>
    </w:p>
    <w:p>
      <w:r>
        <w:t>Esta guía explica cómo conectar equipos industriales al gateway Nimbus Edge mediante Modbus y cómo consumir la telemetría publicada por MQTT. Para los parámetros generales consulte el documento NE-220.</w:t>
      </w:r>
    </w:p>
    <w:p>
      <w:pPr>
        <w:pStyle w:val="Heading1"/>
      </w:pPr>
      <w:r>
        <w:t>2. Modbus RTU sobre RS-485</w:t>
      </w:r>
    </w:p>
    <w:p>
      <w:pPr>
        <w:pStyle w:val="Heading2"/>
      </w:pPr>
      <w:r>
        <w:t>2.1 Capa física</w:t>
      </w:r>
    </w:p>
    <w:p>
      <w:pPr>
        <w:pStyle w:val="ListBullet"/>
      </w:pPr>
      <w:r>
        <w:t>Bus de dos hilos (A y B) más referencia GND, con cable de par trenzado apantallado.</w:t>
      </w:r>
    </w:p>
    <w:p>
      <w:pPr>
        <w:pStyle w:val="ListBullet"/>
      </w:pPr>
      <w:r>
        <w:t xml:space="preserve">Máximo de </w:t>
      </w:r>
      <w:r>
        <w:rPr>
          <w:b/>
        </w:rPr>
        <w:t>32 dispositivos</w:t>
      </w:r>
      <w:r>
        <w:t xml:space="preserve"> por bus sin repetidores.</w:t>
      </w:r>
    </w:p>
    <w:p>
      <w:pPr>
        <w:pStyle w:val="ListBullet"/>
      </w:pPr>
      <w:r>
        <w:t xml:space="preserve">Longitud máxima de </w:t>
      </w:r>
      <w:r>
        <w:rPr>
          <w:b/>
        </w:rPr>
        <w:t>1200 m</w:t>
      </w:r>
      <w:r>
        <w:t xml:space="preserve"> a 9600 baudios; a velocidades mayores la distancia útil disminuye.</w:t>
      </w:r>
    </w:p>
    <w:p>
      <w:pPr>
        <w:pStyle w:val="ListBullet"/>
      </w:pPr>
      <w:r>
        <w:t xml:space="preserve">Resistencia de terminación de </w:t>
      </w:r>
      <w:r>
        <w:rPr>
          <w:b/>
        </w:rPr>
        <w:t>120 ohmios</w:t>
      </w:r>
      <w:r>
        <w:t xml:space="preserve"> entre A y B en los dos extremos del bus.</w:t>
      </w:r>
    </w:p>
    <w:p>
      <w:pPr>
        <w:pStyle w:val="Heading2"/>
      </w:pPr>
      <w:r>
        <w:t>2.2 Parámetros de comunicación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1807"/>
        <w:gridCol w:w="5421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80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Por defecto</w:t>
            </w:r>
          </w:p>
        </w:tc>
        <w:tc>
          <w:tcPr>
            <w:tcW w:type="dxa" w:w="542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Valores admitidos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baudrate</w:t>
            </w:r>
          </w:p>
        </w:tc>
        <w:tc>
          <w:tcPr>
            <w:tcW w:type="dxa" w:w="1807"/>
          </w:tcPr>
          <w:p>
            <w:pPr>
              <w:spacing w:after="40"/>
            </w:pPr>
            <w:r>
              <w:rPr>
                <w:sz w:val="18"/>
              </w:rPr>
              <w:t>9600</w:t>
            </w:r>
          </w:p>
        </w:tc>
        <w:tc>
          <w:tcPr>
            <w:tcW w:type="dxa" w:w="5421"/>
          </w:tcPr>
          <w:p>
            <w:pPr>
              <w:spacing w:after="40"/>
            </w:pPr>
            <w:r>
              <w:rPr>
                <w:sz w:val="18"/>
              </w:rPr>
              <w:t>1200, 2400, 4800, 9600, 19200, 38400, 57600, 115200</w:t>
            </w:r>
          </w:p>
        </w:tc>
      </w:tr>
      <w:tr>
        <w:tc>
          <w:tcPr>
            <w:tcW w:type="dxa" w:w="240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parity</w:t>
            </w:r>
          </w:p>
        </w:tc>
        <w:tc>
          <w:tcPr>
            <w:tcW w:type="dxa" w:w="1807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</w:t>
            </w:r>
          </w:p>
        </w:tc>
        <w:tc>
          <w:tcPr>
            <w:tcW w:type="dxa" w:w="5421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</w:t>
            </w:r>
            <w:r>
              <w:rPr>
                <w:sz w:val="18"/>
              </w:rPr>
              <w:t xml:space="preserve"> (ninguna), </w:t>
            </w:r>
            <w:r>
              <w:rPr>
                <w:rFonts w:ascii="Consolas" w:hAnsi="Consolas" w:eastAsia="Consolas"/>
                <w:sz w:val="15"/>
              </w:rPr>
              <w:t>E</w:t>
            </w:r>
            <w:r>
              <w:rPr>
                <w:sz w:val="18"/>
              </w:rPr>
              <w:t xml:space="preserve"> (par), </w:t>
            </w:r>
            <w:r>
              <w:rPr>
                <w:rFonts w:ascii="Consolas" w:hAnsi="Consolas" w:eastAsia="Consolas"/>
                <w:sz w:val="15"/>
              </w:rPr>
              <w:t>O</w:t>
            </w:r>
            <w:r>
              <w:rPr>
                <w:sz w:val="18"/>
              </w:rPr>
              <w:t xml:space="preserve"> (impar)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stop_bits</w:t>
            </w:r>
          </w:p>
        </w:tc>
        <w:tc>
          <w:tcPr>
            <w:tcW w:type="dxa" w:w="180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421"/>
          </w:tcPr>
          <w:p>
            <w:pPr>
              <w:spacing w:after="40"/>
            </w:pPr>
            <w:r>
              <w:rPr>
                <w:sz w:val="18"/>
              </w:rPr>
              <w:t>1 o 2</w:t>
            </w:r>
          </w:p>
        </w:tc>
      </w:tr>
      <w:tr>
        <w:tc>
          <w:tcPr>
            <w:tcW w:type="dxa" w:w="240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slave_id</w:t>
            </w:r>
          </w:p>
        </w:tc>
        <w:tc>
          <w:tcPr>
            <w:tcW w:type="dxa" w:w="180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542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 a 247</w:t>
            </w:r>
          </w:p>
        </w:tc>
      </w:tr>
    </w:tbl>
    <w:p>
      <w:pPr>
        <w:spacing w:after="40"/>
      </w:pPr>
    </w:p>
    <w:p>
      <w:pPr>
        <w:pStyle w:val="Heading2"/>
      </w:pPr>
      <w:r>
        <w:t>2.3 Funciones Modbus admitidas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4819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03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Read Holding Registers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Lectura de registros de retención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04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Read Input Registers</w:t>
            </w:r>
          </w:p>
        </w:tc>
        <w:tc>
          <w:tcPr>
            <w:tcW w:type="dxa" w:w="481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Lectura de registros de entrada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06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Write Single Register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8"/>
              </w:rPr>
              <w:t>Escritura de un registro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Write Multiple Registers</w:t>
            </w:r>
          </w:p>
        </w:tc>
        <w:tc>
          <w:tcPr>
            <w:tcW w:type="dxa" w:w="481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Escritura de varios registros</w:t>
            </w:r>
          </w:p>
        </w:tc>
      </w:tr>
    </w:tbl>
    <w:p>
      <w:pPr>
        <w:spacing w:after="40"/>
      </w:pPr>
    </w:p>
    <w:p>
      <w:r>
        <w:t xml:space="preserve">Modbus TCP está disponible desde NimbusOS 4.1.0 y usa el puerto </w:t>
      </w:r>
      <w:r>
        <w:rPr>
          <w:b/>
        </w:rPr>
        <w:t>502</w:t>
      </w:r>
      <w:r>
        <w:t xml:space="preserve"> del equipo remoto.</w:t>
      </w:r>
    </w:p>
    <w:p>
      <w:pPr>
        <w:pStyle w:val="Heading1"/>
      </w:pPr>
      <w:r>
        <w:t>3. Mapa de registros</w:t>
      </w:r>
    </w:p>
    <w:p>
      <w:r>
        <w:t xml:space="preserve">Cada esclavo se declara en </w:t>
      </w:r>
      <w:r>
        <w:rPr>
          <w:rFonts w:ascii="Consolas" w:hAnsi="Consolas" w:eastAsia="Consolas"/>
          <w:sz w:val="18"/>
        </w:rPr>
        <w:t>modbus.devices</w:t>
      </w:r>
      <w:r>
        <w:t xml:space="preserve"> con una lista de registros. Cada registro define un nombre de métrica, la dirección, el tipo de dato y un factor de escala.</w:t>
      </w:r>
    </w:p>
    <w:p>
      <w:pPr>
        <w:shd w:val="clear" w:color="auto" w:fill="F3F4F6"/>
        <w:spacing w:after="160" w:line="240" w:lineRule="auto"/>
      </w:pPr>
      <w:r>
        <w:rPr>
          <w:rFonts w:ascii="Consolas" w:hAnsi="Consolas" w:eastAsia="Consolas"/>
          <w:sz w:val="17"/>
        </w:rPr>
        <w:t>modbus:</w:t>
        <w:br/>
        <w:t xml:space="preserve">  poll_interval_ms: 500</w:t>
        <w:br/>
        <w:t xml:space="preserve">  devices:</w:t>
        <w:br/>
        <w:t xml:space="preserve">    - name: medidor_energia_1</w:t>
        <w:br/>
        <w:t xml:space="preserve">      slave_id: 12</w:t>
        <w:br/>
        <w:t xml:space="preserve">      port: rs485</w:t>
        <w:br/>
        <w:t xml:space="preserve">      baudrate: 9600</w:t>
        <w:br/>
        <w:t xml:space="preserve">      parity: N</w:t>
        <w:br/>
        <w:t xml:space="preserve">      registers:</w:t>
        <w:br/>
        <w:t xml:space="preserve">        - metric: potencia_activa_kw</w:t>
        <w:br/>
        <w:t xml:space="preserve">          address: 40001</w:t>
        <w:br/>
        <w:t xml:space="preserve">          function: 03</w:t>
        <w:br/>
        <w:t xml:space="preserve">          type: float32</w:t>
        <w:br/>
        <w:t xml:space="preserve">          byte_order: CDAB</w:t>
        <w:br/>
        <w:t xml:space="preserve">          scale: 1.0</w:t>
        <w:br/>
        <w:t xml:space="preserve">          unit: kW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5953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595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uint16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Entero sin signo de 16 bits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int16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Entero con signo de 16 bits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uint32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953"/>
          </w:tcPr>
          <w:p>
            <w:pPr>
              <w:spacing w:after="40"/>
            </w:pPr>
            <w:r>
              <w:rPr>
                <w:sz w:val="18"/>
              </w:rPr>
              <w:t>Entero sin signo de 32 bits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float32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953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Número de punto flotante de 32 bits</w:t>
            </w:r>
          </w:p>
        </w:tc>
      </w:tr>
    </w:tbl>
    <w:p>
      <w:pPr>
        <w:spacing w:after="40"/>
      </w:pPr>
    </w:p>
    <w:p>
      <w:pPr>
        <w:pBdr>
          <w:left w:val="single" w:sz="24" w:space="6" w:color="2B6CB0"/>
        </w:pBdr>
        <w:shd w:val="clear" w:color="auto" w:fill="EBF4FF"/>
        <w:spacing w:before="80" w:after="160"/>
        <w:ind w:left="227"/>
      </w:pPr>
      <w:r>
        <w:rPr>
          <w:b/>
        </w:rPr>
        <w:t xml:space="preserve">Nota: </w:t>
      </w:r>
      <w:r>
        <w:rPr>
          <w:sz w:val="20"/>
        </w:rPr>
        <w:t>El orden de bytes (</w:t>
      </w:r>
      <w:r>
        <w:rPr>
          <w:rFonts w:ascii="Consolas" w:hAnsi="Consolas" w:eastAsia="Consolas"/>
          <w:sz w:val="17"/>
        </w:rPr>
        <w:t>byte_order</w:t>
      </w:r>
      <w:r>
        <w:rPr>
          <w:sz w:val="20"/>
        </w:rPr>
        <w:t xml:space="preserve">) varía entre fabricantes. Los valores admitidos son </w:t>
      </w:r>
      <w:r>
        <w:rPr>
          <w:rFonts w:ascii="Consolas" w:hAnsi="Consolas" w:eastAsia="Consolas"/>
          <w:sz w:val="17"/>
        </w:rPr>
        <w:t>ABCD</w:t>
      </w:r>
      <w:r>
        <w:rPr>
          <w:sz w:val="20"/>
        </w:rPr>
        <w:t xml:space="preserve"> y </w:t>
      </w:r>
      <w:r>
        <w:rPr>
          <w:rFonts w:ascii="Consolas" w:hAnsi="Consolas" w:eastAsia="Consolas"/>
          <w:sz w:val="17"/>
        </w:rPr>
        <w:t>CDAB</w:t>
      </w:r>
      <w:r>
        <w:rPr>
          <w:sz w:val="20"/>
        </w:rPr>
        <w:t>. Si un valor float32 aparece absurdo, pruebe el otro orden.</w:t>
      </w:r>
    </w:p>
    <w:p>
      <w:pPr>
        <w:pStyle w:val="Heading1"/>
      </w:pPr>
      <w:r>
        <w:t>4. Publicación MQTT</w:t>
      </w:r>
    </w:p>
    <w:p>
      <w:pPr>
        <w:pStyle w:val="Heading2"/>
      </w:pPr>
      <w:r>
        <w:t>4.1 Estructura de tópicos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984"/>
        <w:gridCol w:w="3402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Tópico</w:t>
            </w:r>
          </w:p>
        </w:tc>
        <w:tc>
          <w:tcPr>
            <w:tcW w:type="dxa" w:w="198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nimbus/{tenant_id}/{device_id}/telemetry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Dispositivo a nube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Lotes de muestras</w:t>
            </w:r>
          </w:p>
        </w:tc>
      </w:tr>
      <w:tr>
        <w:tc>
          <w:tcPr>
            <w:tcW w:type="dxa" w:w="4252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nimbus/{tenant_id}/{device_id}/events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Dispositivo a nube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Alarmas y eventos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nimbus/{tenant_id}/{device_id}/cmd/req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Nube a dispositivo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Comandos</w:t>
            </w:r>
          </w:p>
        </w:tc>
      </w:tr>
      <w:tr>
        <w:tc>
          <w:tcPr>
            <w:tcW w:type="dxa" w:w="4252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nimbus/{tenant_id}/{device_id}/cmd/res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Dispositivo a nube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Respuesta a comandos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nimbus/{tenant_id}/{device_id}/status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Dispositivo a nube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Estado de conexión</w:t>
            </w:r>
          </w:p>
        </w:tc>
      </w:tr>
    </w:tbl>
    <w:p>
      <w:pPr>
        <w:spacing w:after="40"/>
      </w:pPr>
    </w:p>
    <w:p>
      <w:pPr>
        <w:pStyle w:val="Heading2"/>
      </w:pPr>
      <w:r>
        <w:t>4.2 Formato del mensaje</w:t>
      </w:r>
    </w:p>
    <w:p>
      <w:pPr>
        <w:shd w:val="clear" w:color="auto" w:fill="F3F4F6"/>
        <w:spacing w:after="160" w:line="240" w:lineRule="auto"/>
      </w:pPr>
      <w:r>
        <w:rPr>
          <w:rFonts w:ascii="Consolas" w:hAnsi="Consolas" w:eastAsia="Consolas"/>
          <w:sz w:val="17"/>
        </w:rPr>
        <w:t>{</w:t>
        <w:br/>
        <w:t xml:space="preserve">  "batch_id": "b-20261002-000187",</w:t>
        <w:br/>
        <w:t xml:space="preserve">  "device_id": "dev_8f3k2m9x1q4z",</w:t>
        <w:br/>
        <w:t xml:space="preserve">  "samples": [</w:t>
        <w:br/>
        <w:t xml:space="preserve">    {</w:t>
        <w:br/>
        <w:t xml:space="preserve">      "ts": 1790946600000,</w:t>
        <w:br/>
        <w:t xml:space="preserve">      "metric": "potencia_activa_kw",</w:t>
        <w:br/>
        <w:t xml:space="preserve">      "value": 42.7,</w:t>
        <w:br/>
        <w:t xml:space="preserve">      "unit": "kW",</w:t>
        <w:br/>
        <w:t xml:space="preserve">      "quality": 100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rPr>
          <w:rFonts w:ascii="Consolas" w:hAnsi="Consolas" w:eastAsia="Consolas"/>
          <w:sz w:val="18"/>
        </w:rPr>
        <w:t>ts</w:t>
      </w:r>
      <w:r>
        <w:t xml:space="preserve"> es la hora del dispositivo en milisegundos desde la época Unix (UTC).</w:t>
      </w:r>
    </w:p>
    <w:p>
      <w:pPr>
        <w:pStyle w:val="ListBullet"/>
      </w:pPr>
      <w:r>
        <w:rPr>
          <w:rFonts w:ascii="Consolas" w:hAnsi="Consolas" w:eastAsia="Consolas"/>
          <w:sz w:val="18"/>
        </w:rPr>
        <w:t>quality</w:t>
      </w:r>
      <w:r>
        <w:t xml:space="preserve"> va de 0 a 100; un valor menor a 100 indica lectura degradada, por ejemplo tras reintentos Modbus.</w:t>
      </w:r>
    </w:p>
    <w:p>
      <w:pPr>
        <w:pStyle w:val="ListBullet"/>
      </w:pPr>
      <w:r>
        <w:t xml:space="preserve">El tamaño máximo de un mensaje es de </w:t>
      </w:r>
      <w:r>
        <w:rPr>
          <w:b/>
        </w:rPr>
        <w:t>128 KB</w:t>
      </w:r>
      <w:r>
        <w:t xml:space="preserve">. Con lotes grandes, reduzca </w:t>
      </w:r>
      <w:r>
        <w:rPr>
          <w:rFonts w:ascii="Consolas" w:hAnsi="Consolas" w:eastAsia="Consolas"/>
          <w:sz w:val="18"/>
        </w:rPr>
        <w:t>telemetry.batch_size</w:t>
      </w:r>
      <w:r>
        <w:t>.</w:t>
      </w:r>
    </w:p>
    <w:p>
      <w:pPr>
        <w:pStyle w:val="Heading2"/>
      </w:pPr>
      <w:r>
        <w:t>4.3 Calidad de servicio y sesión</w:t>
      </w:r>
    </w:p>
    <w:p>
      <w:r>
        <w:t xml:space="preserve">Por defecto la telemetría se publica con </w:t>
      </w:r>
      <w:r>
        <w:rPr>
          <w:b/>
        </w:rPr>
        <w:t>QoS 1</w:t>
      </w:r>
      <w:r>
        <w:t xml:space="preserve"> (entrega al menos una vez), por lo que el consumidor debe deduplicar por </w:t>
      </w:r>
      <w:r>
        <w:rPr>
          <w:rFonts w:ascii="Consolas" w:hAnsi="Consolas" w:eastAsia="Consolas"/>
          <w:sz w:val="18"/>
        </w:rPr>
        <w:t>batch_id</w:t>
      </w:r>
      <w:r>
        <w:t xml:space="preserve">. QoS 0 no garantiza entrega y QoS 2 aumenta la latencia. Con </w:t>
      </w:r>
      <w:r>
        <w:rPr>
          <w:rFonts w:ascii="Consolas" w:hAnsi="Consolas" w:eastAsia="Consolas"/>
          <w:sz w:val="18"/>
        </w:rPr>
        <w:t>mqtt.clean_session</w:t>
      </w:r>
      <w:r>
        <w:t xml:space="preserve"> en false, el broker conserva la sesión del dispositivo entre reconexiones.</w:t>
      </w:r>
    </w:p>
    <w:p>
      <w:pPr>
        <w:pStyle w:val="Heading2"/>
      </w:pPr>
      <w:r>
        <w:t>4.4 Último deseo y estado</w:t>
      </w:r>
    </w:p>
    <w:p>
      <w:r>
        <w:t xml:space="preserve">El gateway registra un mensaje de último deseo (LWT) en el tópico </w:t>
      </w:r>
      <w:r>
        <w:rPr>
          <w:rFonts w:ascii="Consolas" w:hAnsi="Consolas" w:eastAsia="Consolas"/>
          <w:sz w:val="18"/>
        </w:rPr>
        <w:t>status</w:t>
      </w:r>
      <w:r>
        <w:t xml:space="preserve"> con el contenido </w:t>
      </w:r>
      <w:r>
        <w:rPr>
          <w:rFonts w:ascii="Consolas" w:hAnsi="Consolas" w:eastAsia="Consolas"/>
          <w:sz w:val="18"/>
        </w:rPr>
        <w:t>offline</w:t>
      </w:r>
      <w:r>
        <w:t xml:space="preserve">. Al conectarse, publica </w:t>
      </w:r>
      <w:r>
        <w:rPr>
          <w:rFonts w:ascii="Consolas" w:hAnsi="Consolas" w:eastAsia="Consolas"/>
          <w:sz w:val="18"/>
        </w:rPr>
        <w:t>online</w:t>
      </w:r>
      <w:r>
        <w:t xml:space="preserve"> en el mismo tópico. El mensaje de estado se publica como retenido, a diferencia de la telemetría, que nunca se retiene.</w:t>
      </w:r>
    </w:p>
    <w:p>
      <w:pPr>
        <w:pStyle w:val="Heading1"/>
      </w:pPr>
      <w:r>
        <w:t>5. Conexión del consumidor</w:t>
      </w:r>
    </w:p>
    <w:p>
      <w:r>
        <w:t xml:space="preserve">Las aplicaciones externas no se conectan directamente al broker de los dispositivos. Para consumir datos use la API REST (documento NE-210) o los webhooks. La conexión directa por MQTT solo está disponible mediante un puente administrado, contratado por separado, que usa el puerto </w:t>
      </w:r>
      <w:r>
        <w:rPr>
          <w:b/>
        </w:rPr>
        <w:t>8883</w:t>
      </w:r>
      <w:r>
        <w:t xml:space="preserve"> con TLS y credenciales por aplicación.</w:t>
      </w:r>
    </w:p>
    <w:p>
      <w:pPr>
        <w:pStyle w:val="Heading1"/>
      </w:pPr>
      <w:r>
        <w:t>6. Buenas prácticas</w:t>
      </w:r>
    </w:p>
    <w:p>
      <w:pPr>
        <w:pStyle w:val="ListBullet"/>
      </w:pPr>
      <w:r>
        <w:t xml:space="preserve">Ajuste </w:t>
      </w:r>
      <w:r>
        <w:rPr>
          <w:rFonts w:ascii="Consolas" w:hAnsi="Consolas" w:eastAsia="Consolas"/>
          <w:sz w:val="18"/>
        </w:rPr>
        <w:t>modbus.poll_interval_ms</w:t>
      </w:r>
      <w:r>
        <w:t xml:space="preserve"> según la dinámica real del proceso; sondeos por debajo de 200 ms exigen NimbusOS 4.2.1 o superior.</w:t>
      </w:r>
    </w:p>
    <w:p>
      <w:pPr>
        <w:pStyle w:val="ListBullet"/>
      </w:pPr>
      <w:r>
        <w:t>Agrupe los registros contiguos de un mismo esclavo para reducir la cantidad de transacciones.</w:t>
      </w:r>
    </w:p>
    <w:p>
      <w:pPr>
        <w:pStyle w:val="ListBullet"/>
      </w:pPr>
      <w:r>
        <w:t>Use nombres de métrica estables; cambiarlos crea una serie nueva en la base de datos.</w:t>
      </w:r>
    </w:p>
    <w:p>
      <w:pPr>
        <w:pStyle w:val="ListBullet"/>
      </w:pPr>
      <w:r>
        <w:t xml:space="preserve">Deduplique por </w:t>
      </w:r>
      <w:r>
        <w:rPr>
          <w:rFonts w:ascii="Consolas" w:hAnsi="Consolas" w:eastAsia="Consolas"/>
          <w:sz w:val="18"/>
        </w:rPr>
        <w:t>batch_id</w:t>
      </w:r>
      <w:r>
        <w:t xml:space="preserve"> y ordene por </w:t>
      </w:r>
      <w:r>
        <w:rPr>
          <w:rFonts w:ascii="Consolas" w:hAnsi="Consolas" w:eastAsia="Consolas"/>
          <w:sz w:val="18"/>
        </w:rPr>
        <w:t>ts</w:t>
      </w:r>
      <w:r>
        <w:t xml:space="preserve"> en el consumidor.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ficticio generado para pruebas de ingesta RAG  |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6"/>
      </w:rPr>
      <w:t>Nimbus Edge | NE-510 | Guía de Integración MQTT y Modbus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NE-510 - Guía de Integración MQTT y Modbus</dc:title>
  <dc:subject>Conexión de equipos de campo y consumo de datos desde el broker</dc:subject>
  <dc:creator>Nimbus Edge - Documentación Técnica (ficticio)</dc:creator>
  <cp:keywords>Nimbus Edge, NE-510, documentación técnica</cp:keywords>
  <dc:description>Documento ficticio generado para pruebas de ingesta RAG</dc:description>
  <cp:lastModifiedBy>Nimbus Edge - Documentación Técnica (ficticio)</cp:lastModifiedBy>
  <cp:revision>1</cp:revision>
  <dcterms:created xsi:type="dcterms:W3CDTF">2026-10-02T00:00:00Z</dcterms:created>
  <dcterms:modified xsi:type="dcterms:W3CDTF">2026-10-02T00:00:00Z</dcterms:modified>
  <cp:category/>
  <dc:language>es</dc:language>
</cp:coreProperties>
</file>