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Política de Soporte y Acuerdo de Nivel de Servicio</w:t>
      </w:r>
    </w:p>
    <w:p>
      <w:r>
        <w:rPr>
          <w:color w:val="444444"/>
          <w:sz w:val="24"/>
        </w:rPr>
        <w:t>Nimbus Edge - Planes Standard y Premium</w:t>
      </w:r>
    </w:p>
    <w:p>
      <w:r>
        <w:rPr>
          <w:b/>
          <w:sz w:val="19"/>
        </w:rPr>
        <w:t>Código:</w:t>
      </w:r>
      <w:r>
        <w:rPr>
          <w:sz w:val="19"/>
        </w:rPr>
        <w:t xml:space="preserve"> NE-600    </w:t>
      </w:r>
      <w:r>
        <w:rPr>
          <w:b/>
          <w:sz w:val="19"/>
        </w:rPr>
        <w:t>Versión:</w:t>
      </w:r>
      <w:r>
        <w:rPr>
          <w:sz w:val="19"/>
        </w:rPr>
        <w:t xml:space="preserve"> 3.0    </w:t>
      </w:r>
      <w:r>
        <w:rPr>
          <w:b/>
          <w:sz w:val="19"/>
        </w:rPr>
        <w:t>Fecha:</w:t>
      </w:r>
      <w:r>
        <w:rPr>
          <w:sz w:val="19"/>
        </w:rPr>
        <w:t xml:space="preserve"> 2026-10-01</w:t>
      </w:r>
    </w:p>
    <w:p>
      <w:r>
        <w:rPr>
          <w:b/>
          <w:sz w:val="19"/>
        </w:rPr>
        <w:t>Público objetivo:</w:t>
      </w:r>
      <w:r>
        <w:rPr>
          <w:sz w:val="19"/>
        </w:rPr>
        <w:t xml:space="preserve"> Clientes, compras y áreas legales</w:t>
      </w:r>
    </w:p>
    <w:p>
      <w:pPr>
        <w:pStyle w:val="Heading1"/>
      </w:pPr>
      <w:r>
        <w:t>1. Propósito</w:t>
      </w:r>
    </w:p>
    <w:p>
      <w:r>
        <w:t>Esta política define los planes de soporte de Nimbus Edge, los tiempos de respuesta según la severidad de cada incidente, los niveles de disponibilidad de Nimbus Cloud, la garantía de hardware y el ciclo de vida del firmware.</w:t>
      </w:r>
    </w:p>
    <w:p>
      <w:pPr>
        <w:pStyle w:val="Heading1"/>
      </w:pPr>
      <w:r>
        <w:t>2. Planes de soporte</w:t>
      </w:r>
    </w:p>
    <w:tbl>
      <w:tblPr>
        <w:tblStyle w:val="TableGrid"/>
        <w:tblW w:type="auto" w:w="0"/>
        <w:jc w:val="center"/>
        <w:tblLayout w:type="fixed"/>
        <w:tblLook w:firstColumn="1" w:firstRow="1" w:lastColumn="0" w:lastRow="0" w:noHBand="0" w:noVBand="1" w:val="04A0"/>
      </w:tblPr>
      <w:tblGrid>
        <w:gridCol w:w="2268"/>
        <w:gridCol w:w="3685"/>
        <w:gridCol w:w="3685"/>
      </w:tblGrid>
      <w:tr>
        <w:trPr>
          <w:tblHeader w:val="true"/>
        </w:trPr>
        <w:tc>
          <w:tcPr>
            <w:tcW w:type="dxa" w:w="2268"/>
            <w:shd w:val="clear" w:color="auto" w:fill="1F3A5F"/>
          </w:tcPr>
          <w:p>
            <w:pPr>
              <w:spacing w:after="40"/>
            </w:pPr>
            <w:r>
              <w:rPr>
                <w:b/>
                <w:color w:val="FFFFFF"/>
                <w:sz w:val="18"/>
              </w:rPr>
              <w:t>Característica</w:t>
            </w:r>
          </w:p>
        </w:tc>
        <w:tc>
          <w:tcPr>
            <w:tcW w:type="dxa" w:w="3685"/>
            <w:shd w:val="clear" w:color="auto" w:fill="1F3A5F"/>
          </w:tcPr>
          <w:p>
            <w:pPr>
              <w:spacing w:after="40"/>
            </w:pPr>
            <w:r>
              <w:rPr>
                <w:b/>
                <w:color w:val="FFFFFF"/>
                <w:sz w:val="18"/>
              </w:rPr>
              <w:t>Standard</w:t>
            </w:r>
          </w:p>
        </w:tc>
        <w:tc>
          <w:tcPr>
            <w:tcW w:type="dxa" w:w="3685"/>
            <w:shd w:val="clear" w:color="auto" w:fill="1F3A5F"/>
          </w:tcPr>
          <w:p>
            <w:pPr>
              <w:spacing w:after="40"/>
            </w:pPr>
            <w:r>
              <w:rPr>
                <w:b/>
                <w:color w:val="FFFFFF"/>
                <w:sz w:val="18"/>
              </w:rPr>
              <w:t>Premium</w:t>
            </w:r>
          </w:p>
        </w:tc>
      </w:tr>
      <w:tr>
        <w:tc>
          <w:tcPr>
            <w:tcW w:type="dxa" w:w="2268"/>
          </w:tcPr>
          <w:p>
            <w:pPr>
              <w:spacing w:after="40"/>
            </w:pPr>
            <w:r>
              <w:rPr>
                <w:sz w:val="18"/>
              </w:rPr>
              <w:t>Horario de atención</w:t>
            </w:r>
          </w:p>
        </w:tc>
        <w:tc>
          <w:tcPr>
            <w:tcW w:type="dxa" w:w="3685"/>
          </w:tcPr>
          <w:p>
            <w:pPr>
              <w:spacing w:after="40"/>
            </w:pPr>
            <w:r>
              <w:rPr>
                <w:sz w:val="18"/>
              </w:rPr>
              <w:t>Lunes a viernes, de 09:00 a 18:00 (UTC-3), excepto feriados</w:t>
            </w:r>
          </w:p>
        </w:tc>
        <w:tc>
          <w:tcPr>
            <w:tcW w:type="dxa" w:w="3685"/>
          </w:tcPr>
          <w:p>
            <w:pPr>
              <w:spacing w:after="40"/>
            </w:pPr>
            <w:r>
              <w:rPr>
                <w:sz w:val="18"/>
              </w:rPr>
              <w:t>24 horas, 7 días a la semana</w:t>
            </w:r>
          </w:p>
        </w:tc>
      </w:tr>
      <w:tr>
        <w:tc>
          <w:tcPr>
            <w:tcW w:type="dxa" w:w="2268"/>
            <w:shd w:val="clear" w:color="auto" w:fill="EEF2F7"/>
          </w:tcPr>
          <w:p>
            <w:pPr>
              <w:spacing w:after="40"/>
            </w:pPr>
            <w:r>
              <w:rPr>
                <w:sz w:val="18"/>
              </w:rPr>
              <w:t>Canales</w:t>
            </w:r>
          </w:p>
        </w:tc>
        <w:tc>
          <w:tcPr>
            <w:tcW w:type="dxa" w:w="3685"/>
            <w:shd w:val="clear" w:color="auto" w:fill="EEF2F7"/>
          </w:tcPr>
          <w:p>
            <w:pPr>
              <w:spacing w:after="40"/>
            </w:pPr>
            <w:r>
              <w:rPr>
                <w:sz w:val="18"/>
              </w:rPr>
              <w:t>Correo electrónico y portal de casos</w:t>
            </w:r>
          </w:p>
        </w:tc>
        <w:tc>
          <w:tcPr>
            <w:tcW w:type="dxa" w:w="3685"/>
            <w:shd w:val="clear" w:color="auto" w:fill="EEF2F7"/>
          </w:tcPr>
          <w:p>
            <w:pPr>
              <w:spacing w:after="40"/>
            </w:pPr>
            <w:r>
              <w:rPr>
                <w:sz w:val="18"/>
              </w:rPr>
              <w:t>Correo, portal de casos y línea telefónica prioritaria</w:t>
            </w:r>
          </w:p>
        </w:tc>
      </w:tr>
      <w:tr>
        <w:tc>
          <w:tcPr>
            <w:tcW w:type="dxa" w:w="2268"/>
          </w:tcPr>
          <w:p>
            <w:pPr>
              <w:spacing w:after="40"/>
            </w:pPr>
            <w:r>
              <w:rPr>
                <w:sz w:val="18"/>
              </w:rPr>
              <w:t>Disponibilidad de Nimbus Cloud</w:t>
            </w:r>
          </w:p>
        </w:tc>
        <w:tc>
          <w:tcPr>
            <w:tcW w:type="dxa" w:w="3685"/>
          </w:tcPr>
          <w:p>
            <w:pPr>
              <w:spacing w:after="40"/>
            </w:pPr>
            <w:r>
              <w:rPr>
                <w:sz w:val="18"/>
              </w:rPr>
              <w:t>99,9 % mensual</w:t>
            </w:r>
          </w:p>
        </w:tc>
        <w:tc>
          <w:tcPr>
            <w:tcW w:type="dxa" w:w="3685"/>
          </w:tcPr>
          <w:p>
            <w:pPr>
              <w:spacing w:after="40"/>
            </w:pPr>
            <w:r>
              <w:rPr>
                <w:sz w:val="18"/>
              </w:rPr>
              <w:t>99,95 % mensual</w:t>
            </w:r>
          </w:p>
        </w:tc>
      </w:tr>
      <w:tr>
        <w:tc>
          <w:tcPr>
            <w:tcW w:type="dxa" w:w="2268"/>
            <w:shd w:val="clear" w:color="auto" w:fill="EEF2F7"/>
          </w:tcPr>
          <w:p>
            <w:pPr>
              <w:spacing w:after="40"/>
            </w:pPr>
            <w:r>
              <w:rPr>
                <w:sz w:val="18"/>
              </w:rPr>
              <w:t>Reemplazo de hardware (RMA)</w:t>
            </w:r>
          </w:p>
        </w:tc>
        <w:tc>
          <w:tcPr>
            <w:tcW w:type="dxa" w:w="3685"/>
            <w:shd w:val="clear" w:color="auto" w:fill="EEF2F7"/>
          </w:tcPr>
          <w:p>
            <w:pPr>
              <w:spacing w:after="40"/>
            </w:pPr>
            <w:r>
              <w:rPr>
                <w:sz w:val="18"/>
              </w:rPr>
              <w:t>Estándar, envío posterior al diagnóstico</w:t>
            </w:r>
          </w:p>
        </w:tc>
        <w:tc>
          <w:tcPr>
            <w:tcW w:type="dxa" w:w="3685"/>
            <w:shd w:val="clear" w:color="auto" w:fill="EEF2F7"/>
          </w:tcPr>
          <w:p>
            <w:pPr>
              <w:spacing w:after="40"/>
            </w:pPr>
            <w:r>
              <w:rPr>
                <w:sz w:val="18"/>
              </w:rPr>
              <w:t>Adelantado, en 2 días hábiles</w:t>
            </w:r>
          </w:p>
        </w:tc>
      </w:tr>
      <w:tr>
        <w:tc>
          <w:tcPr>
            <w:tcW w:type="dxa" w:w="2268"/>
          </w:tcPr>
          <w:p>
            <w:pPr>
              <w:spacing w:after="40"/>
            </w:pPr>
            <w:r>
              <w:rPr>
                <w:sz w:val="18"/>
              </w:rPr>
              <w:t>Gestor técnico asignado</w:t>
            </w:r>
          </w:p>
        </w:tc>
        <w:tc>
          <w:tcPr>
            <w:tcW w:type="dxa" w:w="3685"/>
          </w:tcPr>
          <w:p>
            <w:pPr>
              <w:spacing w:after="40"/>
            </w:pPr>
            <w:r>
              <w:rPr>
                <w:sz w:val="18"/>
              </w:rPr>
              <w:t>No</w:t>
            </w:r>
          </w:p>
        </w:tc>
        <w:tc>
          <w:tcPr>
            <w:tcW w:type="dxa" w:w="3685"/>
          </w:tcPr>
          <w:p>
            <w:pPr>
              <w:spacing w:after="40"/>
            </w:pPr>
            <w:r>
              <w:rPr>
                <w:sz w:val="18"/>
              </w:rPr>
              <w:t>Sí</w:t>
            </w:r>
          </w:p>
        </w:tc>
      </w:tr>
    </w:tbl>
    <w:p>
      <w:pPr>
        <w:spacing w:after="40"/>
      </w:pPr>
    </w:p>
    <w:p>
      <w:pPr>
        <w:pStyle w:val="Heading1"/>
      </w:pPr>
      <w:r>
        <w:t>3. Definición de severidades</w:t>
      </w:r>
    </w:p>
    <w:tbl>
      <w:tblPr>
        <w:tblStyle w:val="TableGrid"/>
        <w:tblW w:type="auto" w:w="0"/>
        <w:jc w:val="center"/>
        <w:tblLayout w:type="fixed"/>
        <w:tblLook w:firstColumn="1" w:firstRow="1" w:lastColumn="0" w:lastRow="0" w:noHBand="0" w:noVBand="1" w:val="04A0"/>
      </w:tblPr>
      <w:tblGrid>
        <w:gridCol w:w="1984"/>
        <w:gridCol w:w="3969"/>
        <w:gridCol w:w="3685"/>
      </w:tblGrid>
      <w:tr>
        <w:trPr>
          <w:tblHeader w:val="true"/>
        </w:trPr>
        <w:tc>
          <w:tcPr>
            <w:tcW w:type="dxa" w:w="1984"/>
            <w:shd w:val="clear" w:color="auto" w:fill="1F3A5F"/>
          </w:tcPr>
          <w:p>
            <w:pPr>
              <w:spacing w:after="40"/>
            </w:pPr>
            <w:r>
              <w:rPr>
                <w:b/>
                <w:color w:val="FFFFFF"/>
                <w:sz w:val="18"/>
              </w:rPr>
              <w:t>Severidad</w:t>
            </w:r>
          </w:p>
        </w:tc>
        <w:tc>
          <w:tcPr>
            <w:tcW w:type="dxa" w:w="3969"/>
            <w:shd w:val="clear" w:color="auto" w:fill="1F3A5F"/>
          </w:tcPr>
          <w:p>
            <w:pPr>
              <w:spacing w:after="40"/>
            </w:pPr>
            <w:r>
              <w:rPr>
                <w:b/>
                <w:color w:val="FFFFFF"/>
                <w:sz w:val="18"/>
              </w:rPr>
              <w:t>Definición</w:t>
            </w:r>
          </w:p>
        </w:tc>
        <w:tc>
          <w:tcPr>
            <w:tcW w:type="dxa" w:w="3685"/>
            <w:shd w:val="clear" w:color="auto" w:fill="1F3A5F"/>
          </w:tcPr>
          <w:p>
            <w:pPr>
              <w:spacing w:after="40"/>
            </w:pPr>
            <w:r>
              <w:rPr>
                <w:b/>
                <w:color w:val="FFFFFF"/>
                <w:sz w:val="18"/>
              </w:rPr>
              <w:t>Ejemplo</w:t>
            </w:r>
          </w:p>
        </w:tc>
      </w:tr>
      <w:tr>
        <w:tc>
          <w:tcPr>
            <w:tcW w:type="dxa" w:w="1984"/>
          </w:tcPr>
          <w:p>
            <w:pPr>
              <w:spacing w:after="40"/>
            </w:pPr>
            <w:r>
              <w:rPr>
                <w:sz w:val="18"/>
              </w:rPr>
              <w:t>S1 - Crítica</w:t>
            </w:r>
          </w:p>
        </w:tc>
        <w:tc>
          <w:tcPr>
            <w:tcW w:type="dxa" w:w="3969"/>
          </w:tcPr>
          <w:p>
            <w:pPr>
              <w:spacing w:after="40"/>
            </w:pPr>
            <w:r>
              <w:rPr>
                <w:sz w:val="18"/>
              </w:rPr>
              <w:t>Servicio caído o pérdida total de datos sin solución alternativa</w:t>
            </w:r>
          </w:p>
        </w:tc>
        <w:tc>
          <w:tcPr>
            <w:tcW w:type="dxa" w:w="3685"/>
          </w:tcPr>
          <w:p>
            <w:pPr>
              <w:spacing w:after="40"/>
            </w:pPr>
            <w:r>
              <w:rPr>
                <w:sz w:val="18"/>
              </w:rPr>
              <w:t>Toda la flota fuera de línea; la API no responde</w:t>
            </w:r>
          </w:p>
        </w:tc>
      </w:tr>
      <w:tr>
        <w:tc>
          <w:tcPr>
            <w:tcW w:type="dxa" w:w="1984"/>
            <w:shd w:val="clear" w:color="auto" w:fill="EEF2F7"/>
          </w:tcPr>
          <w:p>
            <w:pPr>
              <w:spacing w:after="40"/>
            </w:pPr>
            <w:r>
              <w:rPr>
                <w:sz w:val="18"/>
              </w:rPr>
              <w:t>S2 - Alta</w:t>
            </w:r>
          </w:p>
        </w:tc>
        <w:tc>
          <w:tcPr>
            <w:tcW w:type="dxa" w:w="3969"/>
            <w:shd w:val="clear" w:color="auto" w:fill="EEF2F7"/>
          </w:tcPr>
          <w:p>
            <w:pPr>
              <w:spacing w:after="40"/>
            </w:pPr>
            <w:r>
              <w:rPr>
                <w:sz w:val="18"/>
              </w:rPr>
              <w:t>Degradación importante con solución alternativa parcial</w:t>
            </w:r>
          </w:p>
        </w:tc>
        <w:tc>
          <w:tcPr>
            <w:tcW w:type="dxa" w:w="3685"/>
            <w:shd w:val="clear" w:color="auto" w:fill="EEF2F7"/>
          </w:tcPr>
          <w:p>
            <w:pPr>
              <w:spacing w:after="40"/>
            </w:pPr>
            <w:r>
              <w:rPr>
                <w:sz w:val="18"/>
              </w:rPr>
              <w:t>Un sitio sin telemetría por NE-E1002 persistente</w:t>
            </w:r>
          </w:p>
        </w:tc>
      </w:tr>
      <w:tr>
        <w:tc>
          <w:tcPr>
            <w:tcW w:type="dxa" w:w="1984"/>
          </w:tcPr>
          <w:p>
            <w:pPr>
              <w:spacing w:after="40"/>
            </w:pPr>
            <w:r>
              <w:rPr>
                <w:sz w:val="18"/>
              </w:rPr>
              <w:t>S3 - Media</w:t>
            </w:r>
          </w:p>
        </w:tc>
        <w:tc>
          <w:tcPr>
            <w:tcW w:type="dxa" w:w="3969"/>
          </w:tcPr>
          <w:p>
            <w:pPr>
              <w:spacing w:after="40"/>
            </w:pPr>
            <w:r>
              <w:rPr>
                <w:sz w:val="18"/>
              </w:rPr>
              <w:t>Funcionalidad afectada sin impacto operativo grave</w:t>
            </w:r>
          </w:p>
        </w:tc>
        <w:tc>
          <w:tcPr>
            <w:tcW w:type="dxa" w:w="3685"/>
          </w:tcPr>
          <w:p>
            <w:pPr>
              <w:spacing w:after="40"/>
            </w:pPr>
            <w:r>
              <w:rPr>
                <w:sz w:val="18"/>
              </w:rPr>
              <w:t>Un dispositivo con NE-E2003 intermitente</w:t>
            </w:r>
          </w:p>
        </w:tc>
      </w:tr>
      <w:tr>
        <w:tc>
          <w:tcPr>
            <w:tcW w:type="dxa" w:w="1984"/>
            <w:shd w:val="clear" w:color="auto" w:fill="EEF2F7"/>
          </w:tcPr>
          <w:p>
            <w:pPr>
              <w:spacing w:after="40"/>
            </w:pPr>
            <w:r>
              <w:rPr>
                <w:sz w:val="18"/>
              </w:rPr>
              <w:t>S4 - Baja</w:t>
            </w:r>
          </w:p>
        </w:tc>
        <w:tc>
          <w:tcPr>
            <w:tcW w:type="dxa" w:w="3969"/>
            <w:shd w:val="clear" w:color="auto" w:fill="EEF2F7"/>
          </w:tcPr>
          <w:p>
            <w:pPr>
              <w:spacing w:after="40"/>
            </w:pPr>
            <w:r>
              <w:rPr>
                <w:sz w:val="18"/>
              </w:rPr>
              <w:t>Consulta, solicitud de información o mejora</w:t>
            </w:r>
          </w:p>
        </w:tc>
        <w:tc>
          <w:tcPr>
            <w:tcW w:type="dxa" w:w="3685"/>
            <w:shd w:val="clear" w:color="auto" w:fill="EEF2F7"/>
          </w:tcPr>
          <w:p>
            <w:pPr>
              <w:spacing w:after="40"/>
            </w:pPr>
            <w:r>
              <w:rPr>
                <w:sz w:val="18"/>
              </w:rPr>
              <w:t>Duda sobre un parámetro de configuración</w:t>
            </w:r>
          </w:p>
        </w:tc>
      </w:tr>
    </w:tbl>
    <w:p>
      <w:pPr>
        <w:spacing w:after="40"/>
      </w:pPr>
    </w:p>
    <w:p>
      <w:pPr>
        <w:pStyle w:val="Heading1"/>
      </w:pPr>
      <w:r>
        <w:t>4. Tiempos de respuesta y de restauración</w:t>
      </w:r>
    </w:p>
    <w:p>
      <w:r>
        <w:t>El tiempo de respuesta se mide desde que se registra el caso hasta la primera respuesta de un ingeniero. En el plan Standard, los plazos se cuentan en horas hábiles.</w:t>
      </w:r>
    </w:p>
    <w:tbl>
      <w:tblPr>
        <w:tblStyle w:val="TableGrid"/>
        <w:tblW w:type="auto" w:w="0"/>
        <w:jc w:val="center"/>
        <w:tblLayout w:type="fixed"/>
        <w:tblLook w:firstColumn="1" w:firstRow="1" w:lastColumn="0" w:lastRow="0" w:noHBand="0" w:noVBand="1" w:val="04A0"/>
      </w:tblPr>
      <w:tblGrid>
        <w:gridCol w:w="1417"/>
        <w:gridCol w:w="2551"/>
        <w:gridCol w:w="2551"/>
        <w:gridCol w:w="3118"/>
      </w:tblGrid>
      <w:tr>
        <w:trPr>
          <w:tblHeader w:val="true"/>
        </w:trPr>
        <w:tc>
          <w:tcPr>
            <w:tcW w:type="dxa" w:w="1417"/>
            <w:shd w:val="clear" w:color="auto" w:fill="1F3A5F"/>
          </w:tcPr>
          <w:p>
            <w:pPr>
              <w:spacing w:after="40"/>
            </w:pPr>
            <w:r>
              <w:rPr>
                <w:b/>
                <w:color w:val="FFFFFF"/>
                <w:sz w:val="18"/>
              </w:rPr>
              <w:t>Severidad</w:t>
            </w:r>
          </w:p>
        </w:tc>
        <w:tc>
          <w:tcPr>
            <w:tcW w:type="dxa" w:w="2551"/>
            <w:shd w:val="clear" w:color="auto" w:fill="1F3A5F"/>
          </w:tcPr>
          <w:p>
            <w:pPr>
              <w:spacing w:after="40"/>
            </w:pPr>
            <w:r>
              <w:rPr>
                <w:b/>
                <w:color w:val="FFFFFF"/>
                <w:sz w:val="18"/>
              </w:rPr>
              <w:t>Respuesta Standard</w:t>
            </w:r>
          </w:p>
        </w:tc>
        <w:tc>
          <w:tcPr>
            <w:tcW w:type="dxa" w:w="2551"/>
            <w:shd w:val="clear" w:color="auto" w:fill="1F3A5F"/>
          </w:tcPr>
          <w:p>
            <w:pPr>
              <w:spacing w:after="40"/>
            </w:pPr>
            <w:r>
              <w:rPr>
                <w:b/>
                <w:color w:val="FFFFFF"/>
                <w:sz w:val="18"/>
              </w:rPr>
              <w:t>Respuesta Premium</w:t>
            </w:r>
          </w:p>
        </w:tc>
        <w:tc>
          <w:tcPr>
            <w:tcW w:type="dxa" w:w="3118"/>
            <w:shd w:val="clear" w:color="auto" w:fill="1F3A5F"/>
          </w:tcPr>
          <w:p>
            <w:pPr>
              <w:spacing w:after="40"/>
            </w:pPr>
            <w:r>
              <w:rPr>
                <w:b/>
                <w:color w:val="FFFFFF"/>
                <w:sz w:val="18"/>
              </w:rPr>
              <w:t>Objetivo de restauración Premium</w:t>
            </w:r>
          </w:p>
        </w:tc>
      </w:tr>
      <w:tr>
        <w:tc>
          <w:tcPr>
            <w:tcW w:type="dxa" w:w="1417"/>
          </w:tcPr>
          <w:p>
            <w:pPr>
              <w:spacing w:after="40"/>
            </w:pPr>
            <w:r>
              <w:rPr>
                <w:sz w:val="18"/>
              </w:rPr>
              <w:t>S1</w:t>
            </w:r>
          </w:p>
        </w:tc>
        <w:tc>
          <w:tcPr>
            <w:tcW w:type="dxa" w:w="2551"/>
          </w:tcPr>
          <w:p>
            <w:pPr>
              <w:spacing w:after="40"/>
            </w:pPr>
            <w:r>
              <w:rPr>
                <w:sz w:val="18"/>
              </w:rPr>
              <w:t>4 horas hábiles</w:t>
            </w:r>
          </w:p>
        </w:tc>
        <w:tc>
          <w:tcPr>
            <w:tcW w:type="dxa" w:w="2551"/>
          </w:tcPr>
          <w:p>
            <w:pPr>
              <w:spacing w:after="40"/>
            </w:pPr>
            <w:r>
              <w:rPr>
                <w:sz w:val="18"/>
              </w:rPr>
              <w:t>30 minutos</w:t>
            </w:r>
          </w:p>
        </w:tc>
        <w:tc>
          <w:tcPr>
            <w:tcW w:type="dxa" w:w="3118"/>
          </w:tcPr>
          <w:p>
            <w:pPr>
              <w:spacing w:after="40"/>
            </w:pPr>
            <w:r>
              <w:rPr>
                <w:sz w:val="18"/>
              </w:rPr>
              <w:t>4 horas</w:t>
            </w:r>
          </w:p>
        </w:tc>
      </w:tr>
      <w:tr>
        <w:tc>
          <w:tcPr>
            <w:tcW w:type="dxa" w:w="1417"/>
            <w:shd w:val="clear" w:color="auto" w:fill="EEF2F7"/>
          </w:tcPr>
          <w:p>
            <w:pPr>
              <w:spacing w:after="40"/>
            </w:pPr>
            <w:r>
              <w:rPr>
                <w:sz w:val="18"/>
              </w:rPr>
              <w:t>S2</w:t>
            </w:r>
          </w:p>
        </w:tc>
        <w:tc>
          <w:tcPr>
            <w:tcW w:type="dxa" w:w="2551"/>
            <w:shd w:val="clear" w:color="auto" w:fill="EEF2F7"/>
          </w:tcPr>
          <w:p>
            <w:pPr>
              <w:spacing w:after="40"/>
            </w:pPr>
            <w:r>
              <w:rPr>
                <w:sz w:val="18"/>
              </w:rPr>
              <w:t>8 horas hábiles</w:t>
            </w:r>
          </w:p>
        </w:tc>
        <w:tc>
          <w:tcPr>
            <w:tcW w:type="dxa" w:w="2551"/>
            <w:shd w:val="clear" w:color="auto" w:fill="EEF2F7"/>
          </w:tcPr>
          <w:p>
            <w:pPr>
              <w:spacing w:after="40"/>
            </w:pPr>
            <w:r>
              <w:rPr>
                <w:sz w:val="18"/>
              </w:rPr>
              <w:t>2 horas</w:t>
            </w:r>
          </w:p>
        </w:tc>
        <w:tc>
          <w:tcPr>
            <w:tcW w:type="dxa" w:w="3118"/>
            <w:shd w:val="clear" w:color="auto" w:fill="EEF2F7"/>
          </w:tcPr>
          <w:p>
            <w:pPr>
              <w:spacing w:after="40"/>
            </w:pPr>
            <w:r>
              <w:rPr>
                <w:sz w:val="18"/>
              </w:rPr>
              <w:t>1 día hábil</w:t>
            </w:r>
          </w:p>
        </w:tc>
      </w:tr>
      <w:tr>
        <w:tc>
          <w:tcPr>
            <w:tcW w:type="dxa" w:w="1417"/>
          </w:tcPr>
          <w:p>
            <w:pPr>
              <w:spacing w:after="40"/>
            </w:pPr>
            <w:r>
              <w:rPr>
                <w:sz w:val="18"/>
              </w:rPr>
              <w:t>S3</w:t>
            </w:r>
          </w:p>
        </w:tc>
        <w:tc>
          <w:tcPr>
            <w:tcW w:type="dxa" w:w="2551"/>
          </w:tcPr>
          <w:p>
            <w:pPr>
              <w:spacing w:after="40"/>
            </w:pPr>
            <w:r>
              <w:rPr>
                <w:sz w:val="18"/>
              </w:rPr>
              <w:t>2 días hábiles</w:t>
            </w:r>
          </w:p>
        </w:tc>
        <w:tc>
          <w:tcPr>
            <w:tcW w:type="dxa" w:w="2551"/>
          </w:tcPr>
          <w:p>
            <w:pPr>
              <w:spacing w:after="40"/>
            </w:pPr>
            <w:r>
              <w:rPr>
                <w:sz w:val="18"/>
              </w:rPr>
              <w:t>8 horas</w:t>
            </w:r>
          </w:p>
        </w:tc>
        <w:tc>
          <w:tcPr>
            <w:tcW w:type="dxa" w:w="3118"/>
          </w:tcPr>
          <w:p>
            <w:pPr>
              <w:spacing w:after="40"/>
            </w:pPr>
            <w:r>
              <w:rPr>
                <w:sz w:val="18"/>
              </w:rPr>
              <w:t>3 días hábiles</w:t>
            </w:r>
          </w:p>
        </w:tc>
      </w:tr>
      <w:tr>
        <w:tc>
          <w:tcPr>
            <w:tcW w:type="dxa" w:w="1417"/>
            <w:shd w:val="clear" w:color="auto" w:fill="EEF2F7"/>
          </w:tcPr>
          <w:p>
            <w:pPr>
              <w:spacing w:after="40"/>
            </w:pPr>
            <w:r>
              <w:rPr>
                <w:sz w:val="18"/>
              </w:rPr>
              <w:t>S4</w:t>
            </w:r>
          </w:p>
        </w:tc>
        <w:tc>
          <w:tcPr>
            <w:tcW w:type="dxa" w:w="2551"/>
            <w:shd w:val="clear" w:color="auto" w:fill="EEF2F7"/>
          </w:tcPr>
          <w:p>
            <w:pPr>
              <w:spacing w:after="40"/>
            </w:pPr>
            <w:r>
              <w:rPr>
                <w:sz w:val="18"/>
              </w:rPr>
              <w:t>5 días hábiles</w:t>
            </w:r>
          </w:p>
        </w:tc>
        <w:tc>
          <w:tcPr>
            <w:tcW w:type="dxa" w:w="2551"/>
            <w:shd w:val="clear" w:color="auto" w:fill="EEF2F7"/>
          </w:tcPr>
          <w:p>
            <w:pPr>
              <w:spacing w:after="40"/>
            </w:pPr>
            <w:r>
              <w:rPr>
                <w:sz w:val="18"/>
              </w:rPr>
              <w:t>1 día hábil</w:t>
            </w:r>
          </w:p>
        </w:tc>
        <w:tc>
          <w:tcPr>
            <w:tcW w:type="dxa" w:w="3118"/>
            <w:shd w:val="clear" w:color="auto" w:fill="EEF2F7"/>
          </w:tcPr>
          <w:p>
            <w:pPr>
              <w:spacing w:after="40"/>
            </w:pPr>
            <w:r>
              <w:rPr>
                <w:sz w:val="18"/>
              </w:rPr>
              <w:t>No aplica</w:t>
            </w:r>
          </w:p>
        </w:tc>
      </w:tr>
    </w:tbl>
    <w:p>
      <w:pPr>
        <w:spacing w:after="40"/>
      </w:pPr>
    </w:p>
    <w:p>
      <w:r>
        <w:t xml:space="preserve">En los casos S1 del plan Premium, Nimbus informa el avance al menos cada </w:t>
      </w:r>
      <w:r>
        <w:rPr>
          <w:b/>
        </w:rPr>
        <w:t>2 horas</w:t>
      </w:r>
      <w:r>
        <w:t xml:space="preserve"> hasta la restauración del servicio.</w:t>
      </w:r>
    </w:p>
    <w:p>
      <w:pPr>
        <w:pStyle w:val="Heading1"/>
      </w:pPr>
      <w:r>
        <w:t>5. Disponibilidad de la plataforma y créditos de servicio</w:t>
      </w:r>
    </w:p>
    <w:p>
      <w:r>
        <w:t>La disponibilidad se calcula mensualmente sobre el broker MQTT, el servicio de ingesta y la API REST. Se excluyen los mantenimientos programados comunicados con al menos 7 días de anticipación.</w:t>
      </w:r>
    </w:p>
    <w:tbl>
      <w:tblPr>
        <w:tblStyle w:val="TableGrid"/>
        <w:tblW w:type="auto" w:w="0"/>
        <w:jc w:val="center"/>
        <w:tblLayout w:type="fixed"/>
        <w:tblLook w:firstColumn="1" w:firstRow="1" w:lastColumn="0" w:lastRow="0" w:noHBand="0" w:noVBand="1" w:val="04A0"/>
      </w:tblPr>
      <w:tblGrid>
        <w:gridCol w:w="5669"/>
        <w:gridCol w:w="3969"/>
      </w:tblGrid>
      <w:tr>
        <w:trPr>
          <w:tblHeader w:val="true"/>
        </w:trPr>
        <w:tc>
          <w:tcPr>
            <w:tcW w:type="dxa" w:w="5669"/>
            <w:shd w:val="clear" w:color="auto" w:fill="1F3A5F"/>
          </w:tcPr>
          <w:p>
            <w:pPr>
              <w:spacing w:after="40"/>
            </w:pPr>
            <w:r>
              <w:rPr>
                <w:b/>
                <w:color w:val="FFFFFF"/>
                <w:sz w:val="18"/>
              </w:rPr>
              <w:t>Disponibilidad mensual medida</w:t>
            </w:r>
          </w:p>
        </w:tc>
        <w:tc>
          <w:tcPr>
            <w:tcW w:type="dxa" w:w="3969"/>
            <w:shd w:val="clear" w:color="auto" w:fill="1F3A5F"/>
          </w:tcPr>
          <w:p>
            <w:pPr>
              <w:spacing w:after="40"/>
            </w:pPr>
            <w:r>
              <w:rPr>
                <w:b/>
                <w:color w:val="FFFFFF"/>
                <w:sz w:val="18"/>
              </w:rPr>
              <w:t>Crédito sobre la cuota mensual</w:t>
            </w:r>
          </w:p>
        </w:tc>
      </w:tr>
      <w:tr>
        <w:tc>
          <w:tcPr>
            <w:tcW w:type="dxa" w:w="5669"/>
          </w:tcPr>
          <w:p>
            <w:pPr>
              <w:spacing w:after="40"/>
            </w:pPr>
            <w:r>
              <w:rPr>
                <w:sz w:val="18"/>
              </w:rPr>
              <w:t>Menor al compromiso del plan pero mayor o igual a 99,0 %</w:t>
            </w:r>
          </w:p>
        </w:tc>
        <w:tc>
          <w:tcPr>
            <w:tcW w:type="dxa" w:w="3969"/>
          </w:tcPr>
          <w:p>
            <w:pPr>
              <w:spacing w:after="40"/>
            </w:pPr>
            <w:r>
              <w:rPr>
                <w:sz w:val="18"/>
              </w:rPr>
              <w:t>10 %</w:t>
            </w:r>
          </w:p>
        </w:tc>
      </w:tr>
      <w:tr>
        <w:tc>
          <w:tcPr>
            <w:tcW w:type="dxa" w:w="5669"/>
            <w:shd w:val="clear" w:color="auto" w:fill="EEF2F7"/>
          </w:tcPr>
          <w:p>
            <w:pPr>
              <w:spacing w:after="40"/>
            </w:pPr>
            <w:r>
              <w:rPr>
                <w:sz w:val="18"/>
              </w:rPr>
              <w:t>Menor a 99,0 % y mayor o igual a 95,0 %</w:t>
            </w:r>
          </w:p>
        </w:tc>
        <w:tc>
          <w:tcPr>
            <w:tcW w:type="dxa" w:w="3969"/>
            <w:shd w:val="clear" w:color="auto" w:fill="EEF2F7"/>
          </w:tcPr>
          <w:p>
            <w:pPr>
              <w:spacing w:after="40"/>
            </w:pPr>
            <w:r>
              <w:rPr>
                <w:sz w:val="18"/>
              </w:rPr>
              <w:t>25 %</w:t>
            </w:r>
          </w:p>
        </w:tc>
      </w:tr>
      <w:tr>
        <w:tc>
          <w:tcPr>
            <w:tcW w:type="dxa" w:w="5669"/>
          </w:tcPr>
          <w:p>
            <w:pPr>
              <w:spacing w:after="40"/>
            </w:pPr>
            <w:r>
              <w:rPr>
                <w:sz w:val="18"/>
              </w:rPr>
              <w:t>Menor a 95,0 %</w:t>
            </w:r>
          </w:p>
        </w:tc>
        <w:tc>
          <w:tcPr>
            <w:tcW w:type="dxa" w:w="3969"/>
          </w:tcPr>
          <w:p>
            <w:pPr>
              <w:spacing w:after="40"/>
            </w:pPr>
            <w:r>
              <w:rPr>
                <w:sz w:val="18"/>
              </w:rPr>
              <w:t>50 %</w:t>
            </w:r>
          </w:p>
        </w:tc>
      </w:tr>
    </w:tbl>
    <w:p>
      <w:pPr>
        <w:spacing w:after="40"/>
      </w:pPr>
    </w:p>
    <w:p>
      <w:r>
        <w:t>Los créditos deben solicitarse dentro de los 30 días posteriores al cierre del mes afectado, abriendo un caso en el portal. Los créditos se aplican a la factura siguiente y no son reembolsables en efectivo.</w:t>
      </w:r>
    </w:p>
    <w:p>
      <w:pPr>
        <w:pStyle w:val="Heading1"/>
      </w:pPr>
      <w:r>
        <w:t>6. Garantía de hardware y RMA</w:t>
      </w:r>
    </w:p>
    <w:p>
      <w:r>
        <w:t xml:space="preserve">Los gateways tienen una garantía de </w:t>
      </w:r>
      <w:r>
        <w:rPr>
          <w:b/>
        </w:rPr>
        <w:t>36 meses</w:t>
      </w:r>
      <w:r>
        <w:t xml:space="preserve"> desde la fecha de entrega, que cubre defectos de fabricación. El procedimiento de reemplazo es el siguiente:</w:t>
      </w:r>
    </w:p>
    <w:p>
      <w:pPr>
        <w:pStyle w:val="ListNumber"/>
        <w:numPr>
          <w:ilvl w:val="0"/>
          <w:numId w:val="10"/>
        </w:numPr>
      </w:pPr>
      <w:r>
        <w:t xml:space="preserve">Abra un caso e informe el número de serie y el resultado de </w:t>
      </w:r>
      <w:r>
        <w:rPr>
          <w:rFonts w:ascii="Consolas" w:hAnsi="Consolas" w:eastAsia="Consolas"/>
          <w:sz w:val="18"/>
        </w:rPr>
        <w:t>nbctl diag --full</w:t>
      </w:r>
      <w:r>
        <w:t>.</w:t>
      </w:r>
    </w:p>
    <w:p>
      <w:pPr>
        <w:pStyle w:val="ListNumber"/>
        <w:numPr>
          <w:ilvl w:val="0"/>
          <w:numId w:val="10"/>
        </w:numPr>
      </w:pPr>
      <w:r>
        <w:t>El soporte técnico confirma la falla de hardware y emite un número de RMA.</w:t>
      </w:r>
    </w:p>
    <w:p>
      <w:pPr>
        <w:pStyle w:val="ListNumber"/>
        <w:numPr>
          <w:ilvl w:val="0"/>
          <w:numId w:val="10"/>
        </w:numPr>
      </w:pPr>
      <w:r>
        <w:t xml:space="preserve">En el plan Premium se envía una unidad de reemplazo en </w:t>
      </w:r>
      <w:r>
        <w:rPr>
          <w:b/>
        </w:rPr>
        <w:t>2 días hábiles</w:t>
      </w:r>
      <w:r>
        <w:t>, antes de recibir la unidad defectuosa. En el plan Standard el reemplazo se envía una vez que Nimbus recibe y diagnostica la unidad.</w:t>
      </w:r>
    </w:p>
    <w:p>
      <w:pPr>
        <w:pStyle w:val="ListNumber"/>
        <w:numPr>
          <w:ilvl w:val="0"/>
          <w:numId w:val="10"/>
        </w:numPr>
      </w:pPr>
      <w:r>
        <w:t>La unidad de reemplazo debe aprovisionarse nuevamente con un token nuevo; la identidad del equipo reemplazado se revoca.</w:t>
      </w:r>
    </w:p>
    <w:p>
      <w:pPr>
        <w:pStyle w:val="Heading1"/>
      </w:pPr>
      <w:r>
        <w:t>7. Ciclo de vida del firmware</w:t>
      </w:r>
    </w:p>
    <w:p>
      <w:pPr>
        <w:pStyle w:val="ListBullet"/>
      </w:pPr>
      <w:r>
        <w:t xml:space="preserve">Cada versión menor de NimbusOS (por ejemplo 4.1 o 4.2) recibe correcciones de errores durante </w:t>
      </w:r>
      <w:r>
        <w:rPr>
          <w:b/>
        </w:rPr>
        <w:t>18 meses</w:t>
      </w:r>
      <w:r>
        <w:t xml:space="preserve"> desde su lanzamiento.</w:t>
      </w:r>
    </w:p>
    <w:p>
      <w:pPr>
        <w:pStyle w:val="ListBullet"/>
      </w:pPr>
      <w:r>
        <w:t xml:space="preserve">Las correcciones de seguridad críticas se publican durante </w:t>
      </w:r>
      <w:r>
        <w:rPr>
          <w:b/>
        </w:rPr>
        <w:t>24 meses</w:t>
      </w:r>
      <w:r>
        <w:t xml:space="preserve"> desde el lanzamiento de la versión menor.</w:t>
      </w:r>
    </w:p>
    <w:p>
      <w:pPr>
        <w:pStyle w:val="ListBullet"/>
      </w:pPr>
      <w:r>
        <w:t xml:space="preserve">Nimbus recomienda mantener los equipos en la última versión del canal </w:t>
      </w:r>
      <w:r>
        <w:rPr>
          <w:rFonts w:ascii="Consolas" w:hAnsi="Consolas" w:eastAsia="Consolas"/>
          <w:sz w:val="18"/>
        </w:rPr>
        <w:t>stable</w:t>
      </w:r>
      <w:r>
        <w:t xml:space="preserve"> y no se compromete a resolver problemas reproducibles solo en versiones fuera de soporte.</w:t>
      </w:r>
    </w:p>
    <w:p>
      <w:pPr>
        <w:pStyle w:val="ListBullet"/>
      </w:pPr>
      <w:r>
        <w:t>La API REST v2 deja de estar disponible el 31 de diciembre de 2026.</w:t>
      </w:r>
    </w:p>
    <w:p>
      <w:pPr>
        <w:pStyle w:val="Heading1"/>
      </w:pPr>
      <w:r>
        <w:t>8. Retención de datos</w:t>
      </w:r>
    </w:p>
    <w:tbl>
      <w:tblPr>
        <w:tblStyle w:val="TableGrid"/>
        <w:tblW w:type="auto" w:w="0"/>
        <w:jc w:val="center"/>
        <w:tblLayout w:type="fixed"/>
        <w:tblLook w:firstColumn="1" w:firstRow="1" w:lastColumn="0" w:lastRow="0" w:noHBand="0" w:noVBand="1" w:val="04A0"/>
      </w:tblPr>
      <w:tblGrid>
        <w:gridCol w:w="5102"/>
        <w:gridCol w:w="4535"/>
      </w:tblGrid>
      <w:tr>
        <w:trPr>
          <w:tblHeader w:val="true"/>
        </w:trPr>
        <w:tc>
          <w:tcPr>
            <w:tcW w:type="dxa" w:w="5102"/>
            <w:shd w:val="clear" w:color="auto" w:fill="1F3A5F"/>
          </w:tcPr>
          <w:p>
            <w:pPr>
              <w:spacing w:after="40"/>
            </w:pPr>
            <w:r>
              <w:rPr>
                <w:b/>
                <w:color w:val="FFFFFF"/>
                <w:sz w:val="18"/>
              </w:rPr>
              <w:t>Tipo de dato</w:t>
            </w:r>
          </w:p>
        </w:tc>
        <w:tc>
          <w:tcPr>
            <w:tcW w:type="dxa" w:w="4535"/>
            <w:shd w:val="clear" w:color="auto" w:fill="1F3A5F"/>
          </w:tcPr>
          <w:p>
            <w:pPr>
              <w:spacing w:after="40"/>
            </w:pPr>
            <w:r>
              <w:rPr>
                <w:b/>
                <w:color w:val="FFFFFF"/>
                <w:sz w:val="18"/>
              </w:rPr>
              <w:t>Período de retención</w:t>
            </w:r>
          </w:p>
        </w:tc>
      </w:tr>
      <w:tr>
        <w:tc>
          <w:tcPr>
            <w:tcW w:type="dxa" w:w="5102"/>
          </w:tcPr>
          <w:p>
            <w:pPr>
              <w:spacing w:after="40"/>
            </w:pPr>
            <w:r>
              <w:rPr>
                <w:sz w:val="18"/>
              </w:rPr>
              <w:t>Telemetría</w:t>
            </w:r>
          </w:p>
        </w:tc>
        <w:tc>
          <w:tcPr>
            <w:tcW w:type="dxa" w:w="4535"/>
          </w:tcPr>
          <w:p>
            <w:pPr>
              <w:spacing w:after="40"/>
            </w:pPr>
            <w:r>
              <w:rPr>
                <w:sz w:val="18"/>
              </w:rPr>
              <w:t>13 meses</w:t>
            </w:r>
          </w:p>
        </w:tc>
      </w:tr>
      <w:tr>
        <w:tc>
          <w:tcPr>
            <w:tcW w:type="dxa" w:w="5102"/>
            <w:shd w:val="clear" w:color="auto" w:fill="EEF2F7"/>
          </w:tcPr>
          <w:p>
            <w:pPr>
              <w:spacing w:after="40"/>
            </w:pPr>
            <w:r>
              <w:rPr>
                <w:sz w:val="18"/>
              </w:rPr>
              <w:t>Registros de auditoría</w:t>
            </w:r>
          </w:p>
        </w:tc>
        <w:tc>
          <w:tcPr>
            <w:tcW w:type="dxa" w:w="4535"/>
            <w:shd w:val="clear" w:color="auto" w:fill="EEF2F7"/>
          </w:tcPr>
          <w:p>
            <w:pPr>
              <w:spacing w:after="40"/>
            </w:pPr>
            <w:r>
              <w:rPr>
                <w:sz w:val="18"/>
              </w:rPr>
              <w:t>12 meses</w:t>
            </w:r>
          </w:p>
        </w:tc>
      </w:tr>
      <w:tr>
        <w:tc>
          <w:tcPr>
            <w:tcW w:type="dxa" w:w="5102"/>
          </w:tcPr>
          <w:p>
            <w:pPr>
              <w:spacing w:after="40"/>
            </w:pPr>
            <w:r>
              <w:rPr>
                <w:sz w:val="18"/>
              </w:rPr>
              <w:t>Paquetes de diagnóstico enviados a soporte</w:t>
            </w:r>
          </w:p>
        </w:tc>
        <w:tc>
          <w:tcPr>
            <w:tcW w:type="dxa" w:w="4535"/>
          </w:tcPr>
          <w:p>
            <w:pPr>
              <w:spacing w:after="40"/>
            </w:pPr>
            <w:r>
              <w:rPr>
                <w:sz w:val="18"/>
              </w:rPr>
              <w:t>90 días</w:t>
            </w:r>
          </w:p>
        </w:tc>
      </w:tr>
      <w:tr>
        <w:tc>
          <w:tcPr>
            <w:tcW w:type="dxa" w:w="5102"/>
            <w:shd w:val="clear" w:color="auto" w:fill="EEF2F7"/>
          </w:tcPr>
          <w:p>
            <w:pPr>
              <w:spacing w:after="40"/>
            </w:pPr>
            <w:r>
              <w:rPr>
                <w:sz w:val="18"/>
              </w:rPr>
              <w:t>Casos de soporte</w:t>
            </w:r>
          </w:p>
        </w:tc>
        <w:tc>
          <w:tcPr>
            <w:tcW w:type="dxa" w:w="4535"/>
            <w:shd w:val="clear" w:color="auto" w:fill="EEF2F7"/>
          </w:tcPr>
          <w:p>
            <w:pPr>
              <w:spacing w:after="40"/>
            </w:pPr>
            <w:r>
              <w:rPr>
                <w:sz w:val="18"/>
              </w:rPr>
              <w:t>36 meses</w:t>
            </w:r>
          </w:p>
        </w:tc>
      </w:tr>
    </w:tbl>
    <w:p>
      <w:pPr>
        <w:spacing w:after="40"/>
      </w:pPr>
    </w:p>
    <w:p>
      <w:pPr>
        <w:pStyle w:val="Heading1"/>
      </w:pPr>
      <w:r>
        <w:t>9. Exclusiones</w:t>
      </w:r>
    </w:p>
    <w:p>
      <w:r>
        <w:t>El soporte y la garantía no cubren los siguientes casos:</w:t>
      </w:r>
    </w:p>
    <w:p>
      <w:pPr>
        <w:pStyle w:val="ListBullet"/>
      </w:pPr>
      <w:r>
        <w:t>Daños por alimentación fuera del rango de 9 a 36 V DC o por conexión indebida.</w:t>
      </w:r>
    </w:p>
    <w:p>
      <w:pPr>
        <w:pStyle w:val="ListBullet"/>
      </w:pPr>
      <w:r>
        <w:t>Equipos abiertos o modificados físicamente.</w:t>
      </w:r>
    </w:p>
    <w:p>
      <w:pPr>
        <w:pStyle w:val="ListBullet"/>
      </w:pPr>
      <w:r>
        <w:t>Instalaciones fuera del rango de temperatura de -30 °C a +70 °C.</w:t>
      </w:r>
    </w:p>
    <w:p>
      <w:pPr>
        <w:pStyle w:val="ListBullet"/>
      </w:pPr>
      <w:r>
        <w:t>Uso de firmware no firmado por Nimbus.</w:t>
      </w:r>
    </w:p>
    <w:p>
      <w:pPr>
        <w:pStyle w:val="ListBullet"/>
      </w:pPr>
      <w:r>
        <w:t>Fallas de redes, operadores celulares o servicios de terceros.</w:t>
      </w:r>
    </w:p>
    <w:p>
      <w:pPr>
        <w:pStyle w:val="Heading1"/>
      </w:pPr>
      <w:r>
        <w:t>10. Cómo abrir un caso</w:t>
      </w:r>
    </w:p>
    <w:p>
      <w:r>
        <w:t xml:space="preserve">Los casos se abren por el portal o por correo a </w:t>
      </w:r>
      <w:r>
        <w:rPr>
          <w:rFonts w:ascii="Consolas" w:hAnsi="Consolas" w:eastAsia="Consolas"/>
          <w:sz w:val="18"/>
        </w:rPr>
        <w:t>support@nimbus-edge.example.com</w:t>
      </w:r>
      <w:r>
        <w:t>. Para agilizar la resolución incluya:</w:t>
      </w:r>
    </w:p>
    <w:p>
      <w:pPr>
        <w:pStyle w:val="ListBullet"/>
      </w:pPr>
      <w:r>
        <w:t xml:space="preserve">El </w:t>
      </w:r>
      <w:r>
        <w:rPr>
          <w:rFonts w:ascii="Consolas" w:hAnsi="Consolas" w:eastAsia="Consolas"/>
          <w:sz w:val="18"/>
        </w:rPr>
        <w:t>device_id</w:t>
      </w:r>
      <w:r>
        <w:t xml:space="preserve"> y el modelo (GX-200 o GX-200L).</w:t>
      </w:r>
    </w:p>
    <w:p>
      <w:pPr>
        <w:pStyle w:val="ListBullet"/>
      </w:pPr>
      <w:r>
        <w:t>La versión de firmware instalada.</w:t>
      </w:r>
    </w:p>
    <w:p>
      <w:pPr>
        <w:pStyle w:val="ListBullet"/>
      </w:pPr>
      <w:r>
        <w:t>El código de error mostrado, si existe.</w:t>
      </w:r>
    </w:p>
    <w:p>
      <w:pPr>
        <w:pStyle w:val="ListBullet"/>
      </w:pPr>
      <w:r>
        <w:t xml:space="preserve">El resultado del comando </w:t>
      </w:r>
      <w:r>
        <w:rPr>
          <w:rFonts w:ascii="Consolas" w:hAnsi="Consolas" w:eastAsia="Consolas"/>
          <w:sz w:val="18"/>
        </w:rPr>
        <w:t>nbctl diag --full</w:t>
      </w:r>
      <w:r>
        <w:t>.</w:t>
      </w:r>
    </w:p>
    <w:p>
      <w:pPr>
        <w:pStyle w:val="ListBullet"/>
      </w:pPr>
      <w:r>
        <w:t>La franja horaria del incidente en UTC y los pasos para reproducirlo.</w:t>
      </w:r>
    </w:p>
    <w:p>
      <w:pPr>
        <w:pStyle w:val="Heading1"/>
      </w:pPr>
      <w:r>
        <w:t>11. Escalamiento</w:t>
      </w:r>
    </w:p>
    <w:p>
      <w:r>
        <w:t>Si un caso S1 o S2 no avanza conforme a los plazos, el cliente puede solicitar el escalamiento al gerente de soporte. En el plan Premium el gestor técnico asignado coordina directamente el escalamiento hacia ingeniería.</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Documento ficticio generado para pruebas de ingesta RAG  |  Página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de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55555"/>
        <w:sz w:val="16"/>
      </w:rPr>
      <w:t>Nimbus Edge | NE-600 | Política de Soporte y Acuerdo de Nivel de Servicio |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NE-600 - Política de Soporte y Acuerdo de Nivel de Servicio</dc:title>
  <dc:subject>Nimbus Edge - Planes Standard y Premium</dc:subject>
  <dc:creator>Nimbus Edge - Documentación Técnica (ficticio)</dc:creator>
  <cp:keywords>Nimbus Edge, NE-600, documentación técnica</cp:keywords>
  <dc:description>Documento ficticio generado para pruebas de ingesta RAG</dc:description>
  <cp:lastModifiedBy>Nimbus Edge - Documentación Técnica (ficticio)</cp:lastModifiedBy>
  <cp:revision>1</cp:revision>
  <dcterms:created xsi:type="dcterms:W3CDTF">2026-10-01T00:00:00Z</dcterms:created>
  <dcterms:modified xsi:type="dcterms:W3CDTF">2026-10-01T00:00:00Z</dcterms:modified>
  <cp:category/>
  <dc:language>es</dc:language>
</cp:coreProperties>
</file>