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《家客来AI获客系统》产品能力与建设路线说明</w:t>
      </w:r>
    </w:p>
    <w:p>
      <w:pPr>
        <w:pStyle w:val="Subtitle"/>
        <w:jc w:val="center"/>
      </w:pPr>
      <w:r>
        <w:t>围绕完整获客蓝图的现阶段产品能力说明</w:t>
      </w:r>
    </w:p>
    <w:p>
      <w:pPr/>
      <w:r>
        <w:t>版本：V1.1（客户发布版）</w:t>
      </w:r>
    </w:p>
    <w:p>
      <w:pPr/>
      <w:r>
        <w:t>阅读说明：本文件用业务语言说明产品现阶段可以解决的问题、与完整获客蓝图之间的差异，以及建议的建设顺序。</w:t>
      </w:r>
    </w:p>
    <w:p>
      <w:pPr/>
      <w:r>
        <w:t>能力阶段说明：已具备 = 产品已有稳定使用路径；部分具备 = 主流程可运行，但需要人工参与或满足前置条件；待建设 = 作为后续产品能力规划。</w:t>
      </w:r>
    </w:p>
    <w:p>
      <w:pPr>
        <w:pStyle w:val="Heading1"/>
      </w:pPr>
      <w:r>
        <w:t>一、产品现阶段定位</w:t>
      </w:r>
    </w:p>
    <w:p>
      <w:pPr/>
      <w:r>
        <w:t>产品现阶段已经形成“客户线索—设计师协作—正式量房—AI设计方案”的完整基础流程，适合装修企业用于客户资料管理、量房协作和方案沟通。</w:t>
      </w:r>
    </w:p>
    <w:p>
      <w:pPr/>
      <w:r>
        <w:t>完整获客蓝图还包括推荐人合作、定点活动、线上平台、客户分级、自动跟进、佣金分账和经营驾驶舱等经营能力。这些能力适合按照业务验证结果分阶段建设。</w:t>
      </w:r>
    </w:p>
    <w:tbl>
      <w:tblPr>
        <w:tblStyle w:val="TableGrid"/>
        <w:tblW w:type="auto" w:w="0"/>
        <w:jc w:val="center"/>
        <w:tblLook w:firstColumn="1" w:firstRow="1" w:lastColumn="0" w:lastRow="0" w:noHBand="0" w:noVBand="1" w:val="04A0"/>
      </w:tblPr>
      <w:tblGrid>
        <w:gridCol w:w="3137"/>
        <w:gridCol w:w="3137"/>
        <w:gridCol w:w="3137"/>
      </w:tblGrid>
      <w:tr>
        <w:tc>
          <w:tcPr>
            <w:tcW w:type="dxa" w:w="3137"/>
            <w:vAlign w:val="center"/>
            <w:shd w:fill="1F4E79"/>
          </w:tcPr>
          <w:p>
            <w:r>
              <w:t>完整获客蓝图</w:t>
            </w:r>
          </w:p>
        </w:tc>
        <w:tc>
          <w:tcPr>
            <w:tcW w:type="dxa" w:w="3137"/>
            <w:vAlign w:val="center"/>
            <w:shd w:fill="1F4E79"/>
          </w:tcPr>
          <w:p>
            <w:r>
              <w:t>产品现阶段能力</w:t>
            </w:r>
          </w:p>
        </w:tc>
        <w:tc>
          <w:tcPr>
            <w:tcW w:type="dxa" w:w="3137"/>
            <w:vAlign w:val="center"/>
            <w:shd w:fill="1F4E79"/>
          </w:tcPr>
          <w:p>
            <w:r>
              <w:t>能力阶段</w:t>
            </w:r>
          </w:p>
        </w:tc>
      </w:tr>
      <w:tr>
        <w:tc>
          <w:tcPr>
            <w:tcW w:type="dxa" w:w="3137"/>
            <w:vAlign w:val="center"/>
          </w:tcPr>
          <w:p>
            <w:pPr>
              <w:spacing w:after="40"/>
            </w:pPr>
            <w:r/>
            <w:r>
              <w:rPr>
                <w:rFonts w:ascii="微软雅黑" w:hAnsi="微软雅黑" w:eastAsia="微软雅黑"/>
                <w:b w:val="0"/>
              </w:rPr>
              <w:t>从多个渠道持续获客并自动分配</w:t>
            </w:r>
          </w:p>
        </w:tc>
        <w:tc>
          <w:tcPr>
            <w:tcW w:type="dxa" w:w="3137"/>
            <w:vAlign w:val="center"/>
          </w:tcPr>
          <w:p>
            <w:pPr>
              <w:spacing w:after="40"/>
            </w:pPr>
            <w:r/>
            <w:r>
              <w:rPr>
                <w:rFonts w:ascii="微软雅黑" w:hAnsi="微软雅黑" w:eastAsia="微软雅黑"/>
                <w:b w:val="0"/>
              </w:rPr>
              <w:t>已有线索录入、设计师负责和测量协作</w:t>
            </w:r>
          </w:p>
        </w:tc>
        <w:tc>
          <w:tcPr>
            <w:tcW w:type="dxa" w:w="3137"/>
            <w:vAlign w:val="center"/>
            <w:shd w:fill="FFF2CC"/>
          </w:tcPr>
          <w:p>
            <w:r>
              <w:t>部分具备</w:t>
            </w:r>
          </w:p>
        </w:tc>
      </w:tr>
      <w:tr>
        <w:tc>
          <w:tcPr>
            <w:tcW w:type="dxa" w:w="3137"/>
            <w:vAlign w:val="center"/>
          </w:tcPr>
          <w:p>
            <w:pPr>
              <w:spacing w:after="40"/>
            </w:pPr>
            <w:r/>
            <w:r>
              <w:rPr>
                <w:rFonts w:ascii="微软雅黑" w:hAnsi="微软雅黑" w:eastAsia="微软雅黑"/>
                <w:b w:val="0"/>
              </w:rPr>
              <w:t>用 AI 做获客、跟进和成交辅助</w:t>
            </w:r>
          </w:p>
        </w:tc>
        <w:tc>
          <w:tcPr>
            <w:tcW w:type="dxa" w:w="3137"/>
            <w:vAlign w:val="center"/>
          </w:tcPr>
          <w:p>
            <w:pPr>
              <w:spacing w:after="40"/>
            </w:pPr>
            <w:r/>
            <w:r>
              <w:rPr>
                <w:rFonts w:ascii="微软雅黑" w:hAnsi="微软雅黑" w:eastAsia="微软雅黑"/>
                <w:b w:val="0"/>
              </w:rPr>
              <w:t>已有 AI 设计生成和方案工作流</w:t>
            </w:r>
          </w:p>
        </w:tc>
        <w:tc>
          <w:tcPr>
            <w:tcW w:type="dxa" w:w="3137"/>
            <w:vAlign w:val="center"/>
            <w:shd w:fill="FFF2CC"/>
          </w:tcPr>
          <w:p>
            <w:r>
              <w:t>部分具备</w:t>
            </w:r>
          </w:p>
        </w:tc>
      </w:tr>
      <w:tr>
        <w:tc>
          <w:tcPr>
            <w:tcW w:type="dxa" w:w="3137"/>
            <w:vAlign w:val="center"/>
          </w:tcPr>
          <w:p>
            <w:pPr>
              <w:spacing w:after="40"/>
            </w:pPr>
            <w:r/>
            <w:r>
              <w:rPr>
                <w:rFonts w:ascii="微软雅黑" w:hAnsi="微软雅黑" w:eastAsia="微软雅黑"/>
                <w:b w:val="0"/>
              </w:rPr>
              <w:t>老板看渠道投入、转化和利润</w:t>
            </w:r>
          </w:p>
        </w:tc>
        <w:tc>
          <w:tcPr>
            <w:tcW w:type="dxa" w:w="3137"/>
            <w:vAlign w:val="center"/>
          </w:tcPr>
          <w:p>
            <w:pPr>
              <w:spacing w:after="40"/>
            </w:pPr>
            <w:r/>
            <w:r>
              <w:rPr>
                <w:rFonts w:ascii="微软雅黑" w:hAnsi="微软雅黑" w:eastAsia="微软雅黑"/>
                <w:b w:val="0"/>
              </w:rPr>
              <w:t>已有基础工作台和业务汇总</w:t>
            </w:r>
          </w:p>
        </w:tc>
        <w:tc>
          <w:tcPr>
            <w:tcW w:type="dxa" w:w="3137"/>
            <w:vAlign w:val="center"/>
            <w:shd w:fill="FFF2CC"/>
          </w:tcPr>
          <w:p>
            <w:r>
              <w:t>部分具备</w:t>
            </w:r>
          </w:p>
        </w:tc>
      </w:tr>
      <w:tr>
        <w:tc>
          <w:tcPr>
            <w:tcW w:type="dxa" w:w="3137"/>
            <w:vAlign w:val="center"/>
          </w:tcPr>
          <w:p>
            <w:pPr>
              <w:spacing w:after="40"/>
            </w:pPr>
            <w:r/>
            <w:r>
              <w:rPr>
                <w:rFonts w:ascii="微软雅黑" w:hAnsi="微软雅黑" w:eastAsia="微软雅黑"/>
                <w:b w:val="0"/>
              </w:rPr>
              <w:t>推荐人、活动、平台和佣金完整闭环</w:t>
            </w:r>
          </w:p>
        </w:tc>
        <w:tc>
          <w:tcPr>
            <w:tcW w:type="dxa" w:w="3137"/>
            <w:vAlign w:val="center"/>
          </w:tcPr>
          <w:p>
            <w:pPr>
              <w:spacing w:after="40"/>
            </w:pPr>
            <w:r/>
            <w:r>
              <w:rPr>
                <w:rFonts w:ascii="微软雅黑" w:hAnsi="微软雅黑" w:eastAsia="微软雅黑"/>
                <w:b w:val="0"/>
              </w:rPr>
              <w:t>相关业务对象和规则尚未完整建立</w:t>
            </w:r>
          </w:p>
        </w:tc>
        <w:tc>
          <w:tcPr>
            <w:tcW w:type="dxa" w:w="3137"/>
            <w:vAlign w:val="center"/>
            <w:shd w:fill="FCE4D6"/>
          </w:tcPr>
          <w:p>
            <w:r>
              <w:t>待建设</w:t>
            </w:r>
          </w:p>
        </w:tc>
      </w:tr>
    </w:tbl>
    <w:p/>
    <w:p>
      <w:pPr>
        <w:pStyle w:val="Heading1"/>
      </w:pPr>
      <w:r>
        <w:t>二、目标流程与产品能力对照</w:t>
      </w:r>
    </w:p>
    <w:p>
      <w:pPr/>
      <w:r>
        <w:t>下面按照完整获客蓝图的 0-8 个环节，说明产品现阶段能力和后续建设内容。</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vAlign w:val="center"/>
            <w:shd w:fill="1F4E79"/>
          </w:tcPr>
          <w:p>
            <w:r>
              <w:t>目标流程环节</w:t>
            </w:r>
          </w:p>
        </w:tc>
        <w:tc>
          <w:tcPr>
            <w:tcW w:type="dxa" w:w="2353"/>
            <w:vAlign w:val="center"/>
            <w:shd w:fill="1F4E79"/>
          </w:tcPr>
          <w:p>
            <w:r>
              <w:t>产品现阶段能力</w:t>
            </w:r>
          </w:p>
        </w:tc>
        <w:tc>
          <w:tcPr>
            <w:tcW w:type="dxa" w:w="2353"/>
            <w:vAlign w:val="center"/>
            <w:shd w:fill="1F4E79"/>
          </w:tcPr>
          <w:p>
            <w:r>
              <w:t>能力阶段</w:t>
            </w:r>
          </w:p>
        </w:tc>
        <w:tc>
          <w:tcPr>
            <w:tcW w:type="dxa" w:w="2353"/>
            <w:vAlign w:val="center"/>
            <w:shd w:fill="1F4E79"/>
          </w:tcPr>
          <w:p>
            <w:r>
              <w:t>后续建设内容</w:t>
            </w:r>
          </w:p>
        </w:tc>
      </w:tr>
      <w:tr>
        <w:tc>
          <w:tcPr>
            <w:tcW w:type="dxa" w:w="2353"/>
            <w:vAlign w:val="center"/>
          </w:tcPr>
          <w:p>
            <w:pPr>
              <w:spacing w:after="40"/>
            </w:pPr>
            <w:r/>
            <w:r>
              <w:rPr>
                <w:rFonts w:ascii="微软雅黑" w:hAnsi="微软雅黑" w:eastAsia="微软雅黑"/>
                <w:b w:val="0"/>
              </w:rPr>
              <w:t>0. 招募与认证</w:t>
            </w:r>
          </w:p>
        </w:tc>
        <w:tc>
          <w:tcPr>
            <w:tcW w:type="dxa" w:w="2353"/>
            <w:vAlign w:val="center"/>
          </w:tcPr>
          <w:p>
            <w:pPr>
              <w:spacing w:after="40"/>
            </w:pPr>
            <w:r/>
            <w:r>
              <w:rPr>
                <w:rFonts w:ascii="微软雅黑" w:hAnsi="微软雅黑" w:eastAsia="微软雅黑"/>
                <w:b w:val="0"/>
              </w:rPr>
              <w:t>可以由企业管理人员维护设计师、测量员，并建立两者的协作关系。</w:t>
            </w:r>
          </w:p>
        </w:tc>
        <w:tc>
          <w:tcPr>
            <w:tcW w:type="dxa" w:w="2353"/>
            <w:vAlign w:val="center"/>
            <w:shd w:fill="FFF2CC"/>
          </w:tcPr>
          <w:p>
            <w:r>
              <w:t>部分具备</w:t>
            </w:r>
          </w:p>
        </w:tc>
        <w:tc>
          <w:tcPr>
            <w:tcW w:type="dxa" w:w="2353"/>
            <w:vAlign w:val="center"/>
          </w:tcPr>
          <w:p>
            <w:pPr>
              <w:spacing w:after="40"/>
            </w:pPr>
            <w:r/>
            <w:r>
              <w:rPr>
                <w:rFonts w:ascii="微软雅黑" w:hAnsi="微软雅黑" w:eastAsia="微软雅黑"/>
                <w:b w:val="0"/>
              </w:rPr>
              <w:t>推荐人注册、实名认证、协议签署、培训考核还没有形成完整流程。</w:t>
            </w:r>
          </w:p>
        </w:tc>
      </w:tr>
      <w:tr>
        <w:tc>
          <w:tcPr>
            <w:tcW w:type="dxa" w:w="2353"/>
            <w:vAlign w:val="center"/>
          </w:tcPr>
          <w:p>
            <w:pPr>
              <w:spacing w:after="40"/>
            </w:pPr>
            <w:r/>
            <w:r>
              <w:rPr>
                <w:rFonts w:ascii="微软雅黑" w:hAnsi="微软雅黑" w:eastAsia="微软雅黑"/>
                <w:b w:val="0"/>
              </w:rPr>
              <w:t>1. 触达推荐</w:t>
            </w:r>
          </w:p>
        </w:tc>
        <w:tc>
          <w:tcPr>
            <w:tcW w:type="dxa" w:w="2353"/>
            <w:vAlign w:val="center"/>
          </w:tcPr>
          <w:p>
            <w:pPr>
              <w:spacing w:after="40"/>
            </w:pPr>
            <w:r/>
            <w:r>
              <w:rPr>
                <w:rFonts w:ascii="微软雅黑" w:hAnsi="微软雅黑" w:eastAsia="微软雅黑"/>
                <w:b w:val="0"/>
              </w:rPr>
              <w:t>工作人员可以在小程序中录入客户线索。</w:t>
            </w:r>
          </w:p>
        </w:tc>
        <w:tc>
          <w:tcPr>
            <w:tcW w:type="dxa" w:w="2353"/>
            <w:vAlign w:val="center"/>
            <w:shd w:fill="FFF2CC"/>
          </w:tcPr>
          <w:p>
            <w:r>
              <w:t>部分具备</w:t>
            </w:r>
          </w:p>
        </w:tc>
        <w:tc>
          <w:tcPr>
            <w:tcW w:type="dxa" w:w="2353"/>
            <w:vAlign w:val="center"/>
          </w:tcPr>
          <w:p>
            <w:r>
              <w:t>推荐人专属二维码、活动码和多平台来源追踪属于后续建设内容。</w:t>
            </w:r>
          </w:p>
        </w:tc>
      </w:tr>
      <w:tr>
        <w:tc>
          <w:tcPr>
            <w:tcW w:type="dxa" w:w="2353"/>
            <w:vAlign w:val="center"/>
          </w:tcPr>
          <w:p>
            <w:pPr>
              <w:spacing w:after="40"/>
            </w:pPr>
            <w:r/>
            <w:r>
              <w:rPr>
                <w:rFonts w:ascii="微软雅黑" w:hAnsi="微软雅黑" w:eastAsia="微软雅黑"/>
                <w:b w:val="0"/>
              </w:rPr>
              <w:t>2. 提交线索</w:t>
            </w:r>
          </w:p>
        </w:tc>
        <w:tc>
          <w:tcPr>
            <w:tcW w:type="dxa" w:w="2353"/>
            <w:vAlign w:val="center"/>
          </w:tcPr>
          <w:p>
            <w:pPr>
              <w:spacing w:after="40"/>
            </w:pPr>
            <w:r/>
            <w:r>
              <w:rPr>
                <w:rFonts w:ascii="微软雅黑" w:hAnsi="微软雅黑" w:eastAsia="微软雅黑"/>
                <w:b w:val="0"/>
              </w:rPr>
              <w:t>可以记录客户姓名、电话、小区等信息，并对重复电话进行处理。</w:t>
            </w:r>
          </w:p>
        </w:tc>
        <w:tc>
          <w:tcPr>
            <w:tcW w:type="dxa" w:w="2353"/>
            <w:vAlign w:val="center"/>
            <w:shd w:fill="E2F0D9"/>
          </w:tcPr>
          <w:p>
            <w:r>
              <w:t>已具备</w:t>
            </w:r>
          </w:p>
        </w:tc>
        <w:tc>
          <w:tcPr>
            <w:tcW w:type="dxa" w:w="2353"/>
            <w:vAlign w:val="center"/>
          </w:tcPr>
          <w:p>
            <w:r>
              <w:t>现阶段主要适用于企业内部人员录入；外部推荐渠道需要单独建设合作和归因能力。</w:t>
            </w:r>
          </w:p>
        </w:tc>
      </w:tr>
      <w:tr>
        <w:tc>
          <w:tcPr>
            <w:tcW w:type="dxa" w:w="2353"/>
            <w:vAlign w:val="center"/>
          </w:tcPr>
          <w:p>
            <w:pPr>
              <w:spacing w:after="40"/>
            </w:pPr>
            <w:r/>
            <w:r>
              <w:rPr>
                <w:rFonts w:ascii="微软雅黑" w:hAnsi="微软雅黑" w:eastAsia="微软雅黑"/>
                <w:b w:val="0"/>
              </w:rPr>
              <w:t>3. AI 分级</w:t>
            </w:r>
          </w:p>
        </w:tc>
        <w:tc>
          <w:tcPr>
            <w:tcW w:type="dxa" w:w="2353"/>
            <w:vAlign w:val="center"/>
          </w:tcPr>
          <w:p>
            <w:r>
              <w:t>可以查看线索能力阶段、跟进记录，并使用 AI 设计能力。</w:t>
            </w:r>
          </w:p>
        </w:tc>
        <w:tc>
          <w:tcPr>
            <w:tcW w:type="dxa" w:w="2353"/>
            <w:vAlign w:val="center"/>
            <w:shd w:fill="FCE4D6"/>
          </w:tcPr>
          <w:p>
            <w:r>
              <w:t>待建设</w:t>
            </w:r>
          </w:p>
        </w:tc>
        <w:tc>
          <w:tcPr>
            <w:tcW w:type="dxa" w:w="2353"/>
            <w:vAlign w:val="center"/>
          </w:tcPr>
          <w:p>
            <w:r>
              <w:t>S/A/B/C 客户分级、自动问卷和 B 级客户培育机制属于后续建设内容。</w:t>
            </w:r>
          </w:p>
        </w:tc>
      </w:tr>
      <w:tr>
        <w:tc>
          <w:tcPr>
            <w:tcW w:type="dxa" w:w="2353"/>
            <w:vAlign w:val="center"/>
          </w:tcPr>
          <w:p>
            <w:pPr>
              <w:spacing w:after="40"/>
            </w:pPr>
            <w:r/>
            <w:r>
              <w:rPr>
                <w:rFonts w:ascii="微软雅黑" w:hAnsi="微软雅黑" w:eastAsia="微软雅黑"/>
                <w:b w:val="0"/>
              </w:rPr>
              <w:t>4. 派单测绘</w:t>
            </w:r>
          </w:p>
        </w:tc>
        <w:tc>
          <w:tcPr>
            <w:tcW w:type="dxa" w:w="2353"/>
            <w:vAlign w:val="center"/>
          </w:tcPr>
          <w:p>
            <w:pPr>
              <w:spacing w:after="40"/>
            </w:pPr>
            <w:r/>
            <w:r>
              <w:rPr>
                <w:rFonts w:ascii="微软雅黑" w:hAnsi="微软雅黑" w:eastAsia="微软雅黑"/>
                <w:b w:val="0"/>
              </w:rPr>
              <w:t>测量员可以按照已有协作关系完成正式量房，并将户型交给设计使用。</w:t>
            </w:r>
          </w:p>
        </w:tc>
        <w:tc>
          <w:tcPr>
            <w:tcW w:type="dxa" w:w="2353"/>
            <w:vAlign w:val="center"/>
            <w:shd w:fill="FFF2CC"/>
          </w:tcPr>
          <w:p>
            <w:r>
              <w:t>部分具备</w:t>
            </w:r>
          </w:p>
        </w:tc>
        <w:tc>
          <w:tcPr>
            <w:tcW w:type="dxa" w:w="2353"/>
            <w:vAlign w:val="center"/>
          </w:tcPr>
          <w:p>
            <w:pPr>
              <w:spacing w:after="40"/>
            </w:pPr>
            <w:r/>
            <w:r>
              <w:rPr>
                <w:rFonts w:ascii="微软雅黑" w:hAnsi="微软雅黑" w:eastAsia="微软雅黑"/>
                <w:b w:val="0"/>
              </w:rPr>
              <w:t>没有完整的预约、接单、改约、爽约处理和共享测量员调度。</w:t>
            </w:r>
          </w:p>
        </w:tc>
      </w:tr>
      <w:tr>
        <w:tc>
          <w:tcPr>
            <w:tcW w:type="dxa" w:w="2353"/>
            <w:vAlign w:val="center"/>
          </w:tcPr>
          <w:p>
            <w:pPr>
              <w:spacing w:after="40"/>
            </w:pPr>
            <w:r/>
            <w:r>
              <w:rPr>
                <w:rFonts w:ascii="微软雅黑" w:hAnsi="微软雅黑" w:eastAsia="微软雅黑"/>
                <w:b w:val="0"/>
              </w:rPr>
              <w:t>5. AI 跟进</w:t>
            </w:r>
          </w:p>
        </w:tc>
        <w:tc>
          <w:tcPr>
            <w:tcW w:type="dxa" w:w="2353"/>
            <w:vAlign w:val="center"/>
          </w:tcPr>
          <w:p>
            <w:pPr>
              <w:spacing w:after="40"/>
            </w:pPr>
            <w:r/>
            <w:r>
              <w:rPr>
                <w:rFonts w:ascii="微软雅黑" w:hAnsi="微软雅黑" w:eastAsia="微软雅黑"/>
                <w:b w:val="0"/>
              </w:rPr>
              <w:t>可以记录客户跟进，并根据正式户型或图片生成设计方案。</w:t>
            </w:r>
          </w:p>
        </w:tc>
        <w:tc>
          <w:tcPr>
            <w:tcW w:type="dxa" w:w="2353"/>
            <w:vAlign w:val="center"/>
            <w:shd w:fill="FFF2CC"/>
          </w:tcPr>
          <w:p>
            <w:r>
              <w:t>部分具备</w:t>
            </w:r>
          </w:p>
        </w:tc>
        <w:tc>
          <w:tcPr>
            <w:tcW w:type="dxa" w:w="2353"/>
            <w:vAlign w:val="center"/>
          </w:tcPr>
          <w:p>
            <w:r>
              <w:t>个人微信聊天不纳入自动分析范围；情绪分析和话术质检需要在获得客户及员工授权的沟通环境中另行建设。</w:t>
            </w:r>
          </w:p>
        </w:tc>
      </w:tr>
      <w:tr>
        <w:tc>
          <w:tcPr>
            <w:tcW w:type="dxa" w:w="2353"/>
            <w:vAlign w:val="center"/>
          </w:tcPr>
          <w:p>
            <w:pPr>
              <w:spacing w:after="40"/>
            </w:pPr>
            <w:r/>
            <w:r>
              <w:rPr>
                <w:rFonts w:ascii="微软雅黑" w:hAnsi="微软雅黑" w:eastAsia="微软雅黑"/>
                <w:b w:val="0"/>
              </w:rPr>
              <w:t>6. 转化签约</w:t>
            </w:r>
          </w:p>
        </w:tc>
        <w:tc>
          <w:tcPr>
            <w:tcW w:type="dxa" w:w="2353"/>
            <w:vAlign w:val="center"/>
          </w:tcPr>
          <w:p>
            <w:pPr>
              <w:spacing w:after="40"/>
            </w:pPr>
            <w:r/>
            <w:r>
              <w:rPr>
                <w:rFonts w:ascii="微软雅黑" w:hAnsi="微软雅黑" w:eastAsia="微软雅黑"/>
                <w:b w:val="0"/>
              </w:rPr>
              <w:t>可以把客户推进到“方案设计”和“已签约”等业务阶段，保存设计成果。</w:t>
            </w:r>
          </w:p>
        </w:tc>
        <w:tc>
          <w:tcPr>
            <w:tcW w:type="dxa" w:w="2353"/>
            <w:vAlign w:val="center"/>
            <w:shd w:fill="FFF2CC"/>
          </w:tcPr>
          <w:p>
            <w:r>
              <w:t>部分具备</w:t>
            </w:r>
          </w:p>
        </w:tc>
        <w:tc>
          <w:tcPr>
            <w:tcW w:type="dxa" w:w="2353"/>
            <w:vAlign w:val="center"/>
          </w:tcPr>
          <w:p>
            <w:r>
              <w:t>在线签约、客户确认、满意度评价和正式施工交付属于后续建设内容。</w:t>
            </w:r>
          </w:p>
        </w:tc>
      </w:tr>
      <w:tr>
        <w:tc>
          <w:tcPr>
            <w:tcW w:type="dxa" w:w="2353"/>
            <w:vAlign w:val="center"/>
          </w:tcPr>
          <w:p>
            <w:pPr>
              <w:spacing w:after="40"/>
            </w:pPr>
            <w:r/>
            <w:r>
              <w:rPr>
                <w:rFonts w:ascii="微软雅黑" w:hAnsi="微软雅黑" w:eastAsia="微软雅黑"/>
                <w:b w:val="0"/>
              </w:rPr>
              <w:t>7. 结算分配</w:t>
            </w:r>
          </w:p>
        </w:tc>
        <w:tc>
          <w:tcPr>
            <w:tcW w:type="dxa" w:w="2353"/>
            <w:vAlign w:val="center"/>
          </w:tcPr>
          <w:p>
            <w:r>
              <w:t>设计师确认获客后，可以产生待结算的固定金额获客提成，由企业管理人员确认发放。</w:t>
            </w:r>
          </w:p>
        </w:tc>
        <w:tc>
          <w:tcPr>
            <w:tcW w:type="dxa" w:w="2353"/>
            <w:vAlign w:val="center"/>
            <w:shd w:fill="FFF2CC"/>
          </w:tcPr>
          <w:p>
            <w:r>
              <w:t>部分具备</w:t>
            </w:r>
          </w:p>
        </w:tc>
        <w:tc>
          <w:tcPr>
            <w:tcW w:type="dxa" w:w="2353"/>
            <w:vAlign w:val="center"/>
          </w:tcPr>
          <w:p>
            <w:r>
              <w:t>推荐人双段佣金、自动支付、税务处理和争议仲裁属于后续建设内容。</w:t>
            </w:r>
          </w:p>
        </w:tc>
      </w:tr>
      <w:tr>
        <w:tc>
          <w:tcPr>
            <w:tcW w:type="dxa" w:w="2353"/>
            <w:vAlign w:val="center"/>
          </w:tcPr>
          <w:p>
            <w:pPr>
              <w:spacing w:after="40"/>
            </w:pPr>
            <w:r/>
            <w:r>
              <w:rPr>
                <w:rFonts w:ascii="微软雅黑" w:hAnsi="微软雅黑" w:eastAsia="微软雅黑"/>
                <w:b w:val="0"/>
              </w:rPr>
              <w:t>8. 考核复盘</w:t>
            </w:r>
          </w:p>
        </w:tc>
        <w:tc>
          <w:tcPr>
            <w:tcW w:type="dxa" w:w="2353"/>
            <w:vAlign w:val="center"/>
          </w:tcPr>
          <w:p>
            <w:pPr>
              <w:spacing w:after="40"/>
            </w:pPr>
            <w:r/>
            <w:r>
              <w:rPr>
                <w:rFonts w:ascii="微软雅黑" w:hAnsi="微软雅黑" w:eastAsia="微软雅黑"/>
                <w:b w:val="0"/>
              </w:rPr>
              <w:t>可以查看线索、量房、设计任务和部分提醒信息。</w:t>
            </w:r>
          </w:p>
        </w:tc>
        <w:tc>
          <w:tcPr>
            <w:tcW w:type="dxa" w:w="2353"/>
            <w:vAlign w:val="center"/>
            <w:shd w:fill="FFF2CC"/>
          </w:tcPr>
          <w:p>
            <w:r>
              <w:t>部分具备</w:t>
            </w:r>
          </w:p>
        </w:tc>
        <w:tc>
          <w:tcPr>
            <w:tcW w:type="dxa" w:w="2353"/>
            <w:vAlign w:val="center"/>
          </w:tcPr>
          <w:p>
            <w:r>
              <w:t>渠道成本、签约收入、利润、赛马排名和人才盘点属于后续建设内容。</w:t>
            </w:r>
          </w:p>
        </w:tc>
      </w:tr>
    </w:tbl>
    <w:p/>
    <w:p>
      <w:pPr>
        <w:pStyle w:val="Heading1"/>
      </w:pPr>
      <w:r>
        <w:t>三、三大获客渠道建设情况</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vAlign w:val="center"/>
            <w:shd w:fill="1F4E79"/>
          </w:tcPr>
          <w:p>
            <w:r>
              <w:t>目标渠道</w:t>
            </w:r>
          </w:p>
        </w:tc>
        <w:tc>
          <w:tcPr>
            <w:tcW w:type="dxa" w:w="2353"/>
            <w:vAlign w:val="center"/>
            <w:shd w:fill="1F4E79"/>
          </w:tcPr>
          <w:p>
            <w:r>
              <w:t>可直接承接的能力</w:t>
            </w:r>
          </w:p>
        </w:tc>
        <w:tc>
          <w:tcPr>
            <w:tcW w:type="dxa" w:w="2353"/>
            <w:vAlign w:val="center"/>
            <w:shd w:fill="1F4E79"/>
          </w:tcPr>
          <w:p>
            <w:r>
              <w:t>待补充能力</w:t>
            </w:r>
          </w:p>
        </w:tc>
        <w:tc>
          <w:tcPr>
            <w:tcW w:type="dxa" w:w="2353"/>
            <w:vAlign w:val="center"/>
            <w:shd w:fill="1F4E79"/>
          </w:tcPr>
          <w:p>
            <w:pPr>
              <w:spacing w:after="40"/>
            </w:pPr>
            <w:r>
              <w:rPr>
                <w:color w:val="FFFFFF"/>
              </w:rPr>
            </w:r>
            <w:r>
              <w:rPr>
                <w:rFonts w:ascii="微软雅黑" w:hAnsi="微软雅黑" w:eastAsia="微软雅黑"/>
                <w:b/>
              </w:rPr>
              <w:t>建议</w:t>
            </w:r>
          </w:p>
        </w:tc>
      </w:tr>
      <w:tr>
        <w:tc>
          <w:tcPr>
            <w:tcW w:type="dxa" w:w="2353"/>
            <w:vAlign w:val="center"/>
          </w:tcPr>
          <w:p>
            <w:pPr>
              <w:spacing w:after="40"/>
            </w:pPr>
            <w:r/>
            <w:r>
              <w:rPr>
                <w:rFonts w:ascii="微软雅黑" w:hAnsi="微软雅黑" w:eastAsia="微软雅黑"/>
                <w:b w:val="0"/>
              </w:rPr>
              <w:t>编外线下网络</w:t>
            </w:r>
          </w:p>
        </w:tc>
        <w:tc>
          <w:tcPr>
            <w:tcW w:type="dxa" w:w="2353"/>
            <w:vAlign w:val="center"/>
          </w:tcPr>
          <w:p>
            <w:pPr>
              <w:spacing w:after="40"/>
            </w:pPr>
            <w:r/>
            <w:r>
              <w:rPr>
                <w:rFonts w:ascii="微软雅黑" w:hAnsi="微软雅黑" w:eastAsia="微软雅黑"/>
                <w:b w:val="0"/>
              </w:rPr>
              <w:t>已有客户线索、设计师承接、测量和获客提成基础。</w:t>
            </w:r>
          </w:p>
        </w:tc>
        <w:tc>
          <w:tcPr>
            <w:tcW w:type="dxa" w:w="2353"/>
            <w:vAlign w:val="center"/>
          </w:tcPr>
          <w:p>
            <w:pPr>
              <w:spacing w:after="40"/>
            </w:pPr>
            <w:r/>
            <w:r>
              <w:rPr>
                <w:rFonts w:ascii="微软雅黑" w:hAnsi="微软雅黑" w:eastAsia="微软雅黑"/>
                <w:b w:val="0"/>
              </w:rPr>
              <w:t>推荐人身份、专属码、首触达确认、协议、税务和防刷。</w:t>
            </w:r>
          </w:p>
        </w:tc>
        <w:tc>
          <w:tcPr>
            <w:tcW w:type="dxa" w:w="2353"/>
            <w:vAlign w:val="center"/>
          </w:tcPr>
          <w:p>
            <w:r>
              <w:t>建议先建设合作推荐人基础版，再根据试点结果扩展裂变和长期佣金。</w:t>
            </w:r>
          </w:p>
        </w:tc>
      </w:tr>
      <w:tr>
        <w:tc>
          <w:tcPr>
            <w:tcW w:type="dxa" w:w="2353"/>
            <w:vAlign w:val="center"/>
          </w:tcPr>
          <w:p>
            <w:pPr>
              <w:spacing w:after="40"/>
            </w:pPr>
            <w:r/>
            <w:r>
              <w:rPr>
                <w:rFonts w:ascii="微软雅黑" w:hAnsi="微软雅黑" w:eastAsia="微软雅黑"/>
                <w:b w:val="0"/>
              </w:rPr>
              <w:t>自营定点活动</w:t>
            </w:r>
          </w:p>
        </w:tc>
        <w:tc>
          <w:tcPr>
            <w:tcW w:type="dxa" w:w="2353"/>
            <w:vAlign w:val="center"/>
          </w:tcPr>
          <w:p>
            <w:pPr>
              <w:spacing w:after="40"/>
            </w:pPr>
            <w:r/>
            <w:r>
              <w:rPr>
                <w:rFonts w:ascii="微软雅黑" w:hAnsi="微软雅黑" w:eastAsia="微软雅黑"/>
                <w:b w:val="0"/>
              </w:rPr>
              <w:t>已有客户录入、跟进和通知，可作为活动后的客户承接工具。</w:t>
            </w:r>
          </w:p>
        </w:tc>
        <w:tc>
          <w:tcPr>
            <w:tcW w:type="dxa" w:w="2353"/>
            <w:vAlign w:val="center"/>
          </w:tcPr>
          <w:p>
            <w:pPr>
              <w:spacing w:after="40"/>
            </w:pPr>
            <w:r/>
            <w:r>
              <w:rPr>
                <w:rFonts w:ascii="微软雅黑" w:hAnsi="微软雅黑" w:eastAsia="微软雅黑"/>
                <w:b w:val="0"/>
              </w:rPr>
              <w:t>活动计划、场次、现场登记、活动码、投入产出统计。</w:t>
            </w:r>
          </w:p>
        </w:tc>
        <w:tc>
          <w:tcPr>
            <w:tcW w:type="dxa" w:w="2353"/>
            <w:vAlign w:val="center"/>
          </w:tcPr>
          <w:p>
            <w:r>
              <w:t>试点阶段建议先完成活动登记和来源标记，再逐步形成投入产出分析。</w:t>
            </w:r>
          </w:p>
        </w:tc>
      </w:tr>
      <w:tr>
        <w:tc>
          <w:tcPr>
            <w:tcW w:type="dxa" w:w="2353"/>
            <w:vAlign w:val="center"/>
          </w:tcPr>
          <w:p>
            <w:pPr>
              <w:spacing w:after="40"/>
            </w:pPr>
            <w:r/>
            <w:r>
              <w:rPr>
                <w:rFonts w:ascii="微软雅黑" w:hAnsi="微软雅黑" w:eastAsia="微软雅黑"/>
                <w:b w:val="0"/>
              </w:rPr>
              <w:t>线上平台</w:t>
            </w:r>
          </w:p>
        </w:tc>
        <w:tc>
          <w:tcPr>
            <w:tcW w:type="dxa" w:w="2353"/>
            <w:vAlign w:val="center"/>
          </w:tcPr>
          <w:p>
            <w:pPr>
              <w:spacing w:after="40"/>
            </w:pPr>
            <w:r/>
            <w:r>
              <w:rPr>
                <w:rFonts w:ascii="微软雅黑" w:hAnsi="微软雅黑" w:eastAsia="微软雅黑"/>
                <w:b w:val="0"/>
              </w:rPr>
              <w:t>客户可以通过小程序进入留资、量房和设计流程。</w:t>
            </w:r>
          </w:p>
        </w:tc>
        <w:tc>
          <w:tcPr>
            <w:tcW w:type="dxa" w:w="2353"/>
            <w:vAlign w:val="center"/>
          </w:tcPr>
          <w:p>
            <w:pPr>
              <w:spacing w:after="40"/>
            </w:pPr>
            <w:r/>
            <w:r>
              <w:rPr>
                <w:rFonts w:ascii="微软雅黑" w:hAnsi="微软雅黑" w:eastAsia="微软雅黑"/>
                <w:b w:val="0"/>
              </w:rPr>
              <w:t>各平台订单、体验券、核销、退款和统一客服承接。</w:t>
            </w:r>
          </w:p>
        </w:tc>
        <w:tc>
          <w:tcPr>
            <w:tcW w:type="dxa" w:w="2353"/>
            <w:vAlign w:val="center"/>
          </w:tcPr>
          <w:p>
            <w:r>
              <w:t>先用统一二维码/短链接引导客户进入小程序，平台深度接入安排在后续阶段。</w:t>
            </w:r>
          </w:p>
        </w:tc>
      </w:tr>
    </w:tbl>
    <w:p/>
    <w:p>
      <w:pPr>
        <w:pStyle w:val="Heading1"/>
      </w:pPr>
      <w:r>
        <w:t>四、现阶段可交付的产品体验</w:t>
      </w:r>
    </w:p>
    <w:tbl>
      <w:tblPr>
        <w:tblStyle w:val="TableGrid"/>
        <w:tblW w:type="auto" w:w="0"/>
        <w:jc w:val="center"/>
        <w:tblLook w:firstColumn="1" w:firstRow="1" w:lastColumn="0" w:lastRow="0" w:noHBand="0" w:noVBand="1" w:val="04A0"/>
      </w:tblPr>
      <w:tblGrid>
        <w:gridCol w:w="3137"/>
        <w:gridCol w:w="3137"/>
        <w:gridCol w:w="3137"/>
      </w:tblGrid>
      <w:tr>
        <w:tc>
          <w:tcPr>
            <w:tcW w:type="dxa" w:w="3137"/>
            <w:vAlign w:val="center"/>
            <w:shd w:fill="1F4E79"/>
          </w:tcPr>
          <w:p>
            <w:pPr>
              <w:spacing w:after="40"/>
            </w:pPr>
            <w:r>
              <w:rPr>
                <w:color w:val="FFFFFF"/>
              </w:rPr>
            </w:r>
            <w:r>
              <w:rPr>
                <w:rFonts w:ascii="微软雅黑" w:hAnsi="微软雅黑" w:eastAsia="微软雅黑"/>
                <w:b/>
              </w:rPr>
              <w:t>客户或员工角色</w:t>
            </w:r>
          </w:p>
        </w:tc>
        <w:tc>
          <w:tcPr>
            <w:tcW w:type="dxa" w:w="3137"/>
            <w:vAlign w:val="center"/>
            <w:shd w:fill="1F4E79"/>
          </w:tcPr>
          <w:p>
            <w:pPr>
              <w:spacing w:after="40"/>
            </w:pPr>
            <w:r>
              <w:rPr>
                <w:color w:val="FFFFFF"/>
              </w:rPr>
            </w:r>
            <w:r>
              <w:rPr>
                <w:rFonts w:ascii="微软雅黑" w:hAnsi="微软雅黑" w:eastAsia="微软雅黑"/>
                <w:b/>
              </w:rPr>
              <w:t>可以完成的事情</w:t>
            </w:r>
          </w:p>
        </w:tc>
        <w:tc>
          <w:tcPr>
            <w:tcW w:type="dxa" w:w="3137"/>
            <w:vAlign w:val="center"/>
            <w:shd w:fill="1F4E79"/>
          </w:tcPr>
          <w:p>
            <w:pPr>
              <w:spacing w:after="40"/>
            </w:pPr>
            <w:r>
              <w:rPr>
                <w:color w:val="FFFFFF"/>
              </w:rPr>
            </w:r>
            <w:r>
              <w:rPr>
                <w:rFonts w:ascii="微软雅黑" w:hAnsi="微软雅黑" w:eastAsia="微软雅黑"/>
                <w:b/>
              </w:rPr>
              <w:t>客户能感受到的价值</w:t>
            </w:r>
          </w:p>
        </w:tc>
      </w:tr>
      <w:tr>
        <w:tc>
          <w:tcPr>
            <w:tcW w:type="dxa" w:w="3137"/>
            <w:vAlign w:val="center"/>
          </w:tcPr>
          <w:p>
            <w:pPr>
              <w:spacing w:after="40"/>
            </w:pPr>
            <w:r/>
            <w:r>
              <w:rPr>
                <w:rFonts w:ascii="微软雅黑" w:hAnsi="微软雅黑" w:eastAsia="微软雅黑"/>
                <w:b w:val="0"/>
              </w:rPr>
              <w:t>设计师</w:t>
            </w:r>
          </w:p>
        </w:tc>
        <w:tc>
          <w:tcPr>
            <w:tcW w:type="dxa" w:w="3137"/>
            <w:vAlign w:val="center"/>
          </w:tcPr>
          <w:p>
            <w:pPr>
              <w:spacing w:after="40"/>
            </w:pPr>
            <w:r/>
            <w:r>
              <w:rPr>
                <w:rFonts w:ascii="微软雅黑" w:hAnsi="微软雅黑" w:eastAsia="微软雅黑"/>
                <w:b w:val="0"/>
              </w:rPr>
              <w:t>接收负责的线索、确认客户交接、查看客户资料、记录跟进、发起 AI 设计。</w:t>
            </w:r>
          </w:p>
        </w:tc>
        <w:tc>
          <w:tcPr>
            <w:tcW w:type="dxa" w:w="3137"/>
            <w:vAlign w:val="center"/>
          </w:tcPr>
          <w:p>
            <w:pPr>
              <w:spacing w:after="40"/>
            </w:pPr>
            <w:r/>
            <w:r>
              <w:rPr>
                <w:rFonts w:ascii="微软雅黑" w:hAnsi="微软雅黑" w:eastAsia="微软雅黑"/>
                <w:b w:val="0"/>
              </w:rPr>
              <w:t>客户资料集中，不用在多个工具之间重复查找。</w:t>
            </w:r>
          </w:p>
        </w:tc>
      </w:tr>
      <w:tr>
        <w:tc>
          <w:tcPr>
            <w:tcW w:type="dxa" w:w="3137"/>
            <w:vAlign w:val="center"/>
          </w:tcPr>
          <w:p>
            <w:pPr>
              <w:spacing w:after="40"/>
            </w:pPr>
            <w:r/>
            <w:r>
              <w:rPr>
                <w:rFonts w:ascii="微软雅黑" w:hAnsi="微软雅黑" w:eastAsia="微软雅黑"/>
                <w:b w:val="0"/>
              </w:rPr>
              <w:t>测量员</w:t>
            </w:r>
          </w:p>
        </w:tc>
        <w:tc>
          <w:tcPr>
            <w:tcW w:type="dxa" w:w="3137"/>
            <w:vAlign w:val="center"/>
          </w:tcPr>
          <w:p>
            <w:pPr>
              <w:spacing w:after="40"/>
            </w:pPr>
            <w:r/>
            <w:r>
              <w:rPr>
                <w:rFonts w:ascii="微软雅黑" w:hAnsi="微软雅黑" w:eastAsia="微软雅黑"/>
                <w:b w:val="0"/>
              </w:rPr>
              <w:t>录入客户、查看绑定设计师、完成正式量房、上传真实测量结果。</w:t>
            </w:r>
          </w:p>
        </w:tc>
        <w:tc>
          <w:tcPr>
            <w:tcW w:type="dxa" w:w="3137"/>
            <w:vAlign w:val="center"/>
          </w:tcPr>
          <w:p>
            <w:pPr>
              <w:spacing w:after="40"/>
            </w:pPr>
            <w:r/>
            <w:r>
              <w:rPr>
                <w:rFonts w:ascii="微软雅黑" w:hAnsi="微软雅黑" w:eastAsia="微软雅黑"/>
                <w:b w:val="0"/>
              </w:rPr>
              <w:t>量房数据可以直接进入后续设计，不需要重复录入。</w:t>
            </w:r>
          </w:p>
        </w:tc>
      </w:tr>
      <w:tr>
        <w:tc>
          <w:tcPr>
            <w:tcW w:type="dxa" w:w="3137"/>
            <w:vAlign w:val="center"/>
          </w:tcPr>
          <w:p>
            <w:pPr>
              <w:spacing w:after="40"/>
            </w:pPr>
            <w:r/>
            <w:r>
              <w:rPr>
                <w:rFonts w:ascii="微软雅黑" w:hAnsi="微软雅黑" w:eastAsia="微软雅黑"/>
                <w:b w:val="0"/>
              </w:rPr>
              <w:t>企业负责人</w:t>
            </w:r>
          </w:p>
        </w:tc>
        <w:tc>
          <w:tcPr>
            <w:tcW w:type="dxa" w:w="3137"/>
            <w:vAlign w:val="center"/>
          </w:tcPr>
          <w:p>
            <w:pPr>
              <w:spacing w:after="40"/>
            </w:pPr>
            <w:r/>
            <w:r>
              <w:rPr>
                <w:rFonts w:ascii="微软雅黑" w:hAnsi="微软雅黑" w:eastAsia="微软雅黑"/>
                <w:b w:val="0"/>
              </w:rPr>
              <w:t>维护员工关系、查看线索和业务进展、设置获客提成、人工确认结算。</w:t>
            </w:r>
          </w:p>
        </w:tc>
        <w:tc>
          <w:tcPr>
            <w:tcW w:type="dxa" w:w="3137"/>
            <w:vAlign w:val="center"/>
          </w:tcPr>
          <w:p>
            <w:r>
              <w:t>能看到团队现阶段的客资和任务能力阶段。</w:t>
            </w:r>
          </w:p>
        </w:tc>
      </w:tr>
      <w:tr>
        <w:tc>
          <w:tcPr>
            <w:tcW w:type="dxa" w:w="3137"/>
            <w:vAlign w:val="center"/>
          </w:tcPr>
          <w:p>
            <w:pPr>
              <w:spacing w:after="40"/>
            </w:pPr>
            <w:r/>
            <w:r>
              <w:rPr>
                <w:rFonts w:ascii="微软雅黑" w:hAnsi="微软雅黑" w:eastAsia="微软雅黑"/>
                <w:b w:val="0"/>
              </w:rPr>
              <w:t>客户</w:t>
            </w:r>
          </w:p>
        </w:tc>
        <w:tc>
          <w:tcPr>
            <w:tcW w:type="dxa" w:w="3137"/>
            <w:vAlign w:val="center"/>
          </w:tcPr>
          <w:p>
            <w:pPr>
              <w:spacing w:after="40"/>
            </w:pPr>
            <w:r/>
            <w:r>
              <w:rPr>
                <w:rFonts w:ascii="微软雅黑" w:hAnsi="微软雅黑" w:eastAsia="微软雅黑"/>
                <w:b w:val="0"/>
              </w:rPr>
              <w:t>留下基本需求，参与量房和方案沟通，查看设计成果。</w:t>
            </w:r>
          </w:p>
        </w:tc>
        <w:tc>
          <w:tcPr>
            <w:tcW w:type="dxa" w:w="3137"/>
            <w:vAlign w:val="center"/>
          </w:tcPr>
          <w:p>
            <w:pPr>
              <w:spacing w:after="40"/>
            </w:pPr>
            <w:r/>
            <w:r>
              <w:rPr>
                <w:rFonts w:ascii="微软雅黑" w:hAnsi="微软雅黑" w:eastAsia="微软雅黑"/>
                <w:b w:val="0"/>
              </w:rPr>
              <w:t>从客户信息到户型和方案形成连续记录。</w:t>
            </w:r>
          </w:p>
        </w:tc>
      </w:tr>
    </w:tbl>
    <w:p/>
    <w:p>
      <w:pPr/>
      <w:r>
        <w:t>这条内部协作流程可以作为首期落地范围，能够独立运行，也不依赖推荐人裂变或个人微信聊天分析。</w:t>
      </w:r>
    </w:p>
    <w:p>
      <w:pPr>
        <w:pStyle w:val="Heading1"/>
      </w:pPr>
      <w:r>
        <w:t>五、后续产品建设重点</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vAlign w:val="center"/>
            <w:shd w:fill="1F4E79"/>
          </w:tcPr>
          <w:p>
            <w:pPr>
              <w:spacing w:after="40"/>
            </w:pPr>
            <w:r>
              <w:rPr>
                <w:color w:val="FFFFFF"/>
              </w:rPr>
            </w:r>
            <w:r>
              <w:rPr>
                <w:rFonts w:ascii="微软雅黑" w:hAnsi="微软雅黑" w:eastAsia="微软雅黑"/>
                <w:b/>
              </w:rPr>
              <w:t>建设内容</w:t>
            </w:r>
          </w:p>
        </w:tc>
        <w:tc>
          <w:tcPr>
            <w:tcW w:type="dxa" w:w="2353"/>
            <w:vAlign w:val="center"/>
            <w:shd w:fill="1F4E79"/>
          </w:tcPr>
          <w:p>
            <w:pPr>
              <w:spacing w:after="40"/>
            </w:pPr>
            <w:r>
              <w:rPr>
                <w:color w:val="FFFFFF"/>
              </w:rPr>
            </w:r>
            <w:r>
              <w:rPr>
                <w:rFonts w:ascii="微软雅黑" w:hAnsi="微软雅黑" w:eastAsia="微软雅黑"/>
                <w:b/>
              </w:rPr>
              <w:t>要解决的问题</w:t>
            </w:r>
          </w:p>
        </w:tc>
        <w:tc>
          <w:tcPr>
            <w:tcW w:type="dxa" w:w="2353"/>
            <w:vAlign w:val="center"/>
            <w:shd w:fill="1F4E79"/>
          </w:tcPr>
          <w:p>
            <w:pPr>
              <w:spacing w:after="40"/>
            </w:pPr>
            <w:r>
              <w:rPr>
                <w:color w:val="FFFFFF"/>
              </w:rPr>
            </w:r>
            <w:r>
              <w:rPr>
                <w:rFonts w:ascii="微软雅黑" w:hAnsi="微软雅黑" w:eastAsia="微软雅黑"/>
                <w:b/>
              </w:rPr>
              <w:t>优先级</w:t>
            </w:r>
          </w:p>
        </w:tc>
        <w:tc>
          <w:tcPr>
            <w:tcW w:type="dxa" w:w="2353"/>
            <w:vAlign w:val="center"/>
            <w:shd w:fill="1F4E79"/>
          </w:tcPr>
          <w:p>
            <w:pPr>
              <w:spacing w:after="40"/>
            </w:pPr>
            <w:r>
              <w:rPr>
                <w:color w:val="FFFFFF"/>
              </w:rPr>
            </w:r>
            <w:r>
              <w:rPr>
                <w:rFonts w:ascii="微软雅黑" w:hAnsi="微软雅黑" w:eastAsia="微软雅黑"/>
                <w:b/>
              </w:rPr>
              <w:t>适合何时建设</w:t>
            </w:r>
          </w:p>
        </w:tc>
      </w:tr>
      <w:tr>
        <w:tc>
          <w:tcPr>
            <w:tcW w:type="dxa" w:w="2353"/>
            <w:vAlign w:val="center"/>
          </w:tcPr>
          <w:p>
            <w:pPr>
              <w:spacing w:after="40"/>
            </w:pPr>
            <w:r/>
            <w:r>
              <w:rPr>
                <w:rFonts w:ascii="微软雅黑" w:hAnsi="微软雅黑" w:eastAsia="微软雅黑"/>
                <w:b w:val="0"/>
              </w:rPr>
              <w:t>推荐人合作管理</w:t>
            </w:r>
          </w:p>
        </w:tc>
        <w:tc>
          <w:tcPr>
            <w:tcW w:type="dxa" w:w="2353"/>
            <w:vAlign w:val="center"/>
          </w:tcPr>
          <w:p>
            <w:pPr>
              <w:spacing w:after="40"/>
            </w:pPr>
            <w:r/>
            <w:r>
              <w:rPr>
                <w:rFonts w:ascii="微软雅黑" w:hAnsi="微软雅黑" w:eastAsia="微软雅黑"/>
                <w:b w:val="0"/>
              </w:rPr>
              <w:t>谁可以推荐、推荐关系如何确认、收益如何结算。</w:t>
            </w:r>
          </w:p>
        </w:tc>
        <w:tc>
          <w:tcPr>
            <w:tcW w:type="dxa" w:w="2353"/>
            <w:vAlign w:val="center"/>
            <w:shd w:fill="FFFFFF"/>
          </w:tcPr>
          <w:p>
            <w:pPr>
              <w:spacing w:after="40"/>
            </w:pPr>
            <w:r/>
            <w:r>
              <w:rPr>
                <w:rFonts w:ascii="微软雅黑" w:hAnsi="微软雅黑" w:eastAsia="微软雅黑"/>
                <w:b w:val="0"/>
              </w:rPr>
              <w:t>高</w:t>
            </w:r>
          </w:p>
        </w:tc>
        <w:tc>
          <w:tcPr>
            <w:tcW w:type="dxa" w:w="2353"/>
            <w:vAlign w:val="center"/>
          </w:tcPr>
          <w:p>
            <w:pPr>
              <w:spacing w:after="40"/>
            </w:pPr>
            <w:r/>
            <w:r>
              <w:rPr>
                <w:rFonts w:ascii="微软雅黑" w:hAnsi="微软雅黑" w:eastAsia="微软雅黑"/>
                <w:b w:val="0"/>
              </w:rPr>
              <w:t>正式做外部渠道前</w:t>
            </w:r>
          </w:p>
        </w:tc>
      </w:tr>
      <w:tr>
        <w:tc>
          <w:tcPr>
            <w:tcW w:type="dxa" w:w="2353"/>
            <w:vAlign w:val="center"/>
          </w:tcPr>
          <w:p>
            <w:pPr>
              <w:spacing w:after="40"/>
            </w:pPr>
            <w:r/>
            <w:r>
              <w:rPr>
                <w:rFonts w:ascii="微软雅黑" w:hAnsi="微软雅黑" w:eastAsia="微软雅黑"/>
                <w:b w:val="0"/>
              </w:rPr>
              <w:t>统一来源追踪</w:t>
            </w:r>
          </w:p>
        </w:tc>
        <w:tc>
          <w:tcPr>
            <w:tcW w:type="dxa" w:w="2353"/>
            <w:vAlign w:val="center"/>
          </w:tcPr>
          <w:p>
            <w:pPr>
              <w:spacing w:after="40"/>
            </w:pPr>
            <w:r/>
            <w:r>
              <w:rPr>
                <w:rFonts w:ascii="微软雅黑" w:hAnsi="微软雅黑" w:eastAsia="微软雅黑"/>
                <w:b w:val="0"/>
              </w:rPr>
              <w:t>客户来自哪个人、哪个活动、哪个平台，出现冲突时如何裁定。</w:t>
            </w:r>
          </w:p>
        </w:tc>
        <w:tc>
          <w:tcPr>
            <w:tcW w:type="dxa" w:w="2353"/>
            <w:vAlign w:val="center"/>
            <w:shd w:fill="FFFFFF"/>
          </w:tcPr>
          <w:p>
            <w:pPr>
              <w:spacing w:after="40"/>
            </w:pPr>
            <w:r/>
            <w:r>
              <w:rPr>
                <w:rFonts w:ascii="微软雅黑" w:hAnsi="微软雅黑" w:eastAsia="微软雅黑"/>
                <w:b w:val="0"/>
              </w:rPr>
              <w:t>高</w:t>
            </w:r>
          </w:p>
        </w:tc>
        <w:tc>
          <w:tcPr>
            <w:tcW w:type="dxa" w:w="2353"/>
            <w:vAlign w:val="center"/>
          </w:tcPr>
          <w:p>
            <w:pPr>
              <w:spacing w:after="40"/>
            </w:pPr>
            <w:r/>
            <w:r>
              <w:rPr>
                <w:rFonts w:ascii="微软雅黑" w:hAnsi="微软雅黑" w:eastAsia="微软雅黑"/>
                <w:b w:val="0"/>
              </w:rPr>
              <w:t>所有外部渠道前</w:t>
            </w:r>
          </w:p>
        </w:tc>
      </w:tr>
      <w:tr>
        <w:tc>
          <w:tcPr>
            <w:tcW w:type="dxa" w:w="2353"/>
            <w:vAlign w:val="center"/>
          </w:tcPr>
          <w:p>
            <w:pPr>
              <w:spacing w:after="40"/>
            </w:pPr>
            <w:r/>
            <w:r>
              <w:rPr>
                <w:rFonts w:ascii="微软雅黑" w:hAnsi="微软雅黑" w:eastAsia="微软雅黑"/>
                <w:b w:val="0"/>
              </w:rPr>
              <w:t>客户授权与隐私管理</w:t>
            </w:r>
          </w:p>
        </w:tc>
        <w:tc>
          <w:tcPr>
            <w:tcW w:type="dxa" w:w="2353"/>
            <w:vAlign w:val="center"/>
          </w:tcPr>
          <w:p>
            <w:pPr>
              <w:spacing w:after="40"/>
            </w:pPr>
            <w:r/>
            <w:r>
              <w:rPr>
                <w:rFonts w:ascii="微软雅黑" w:hAnsi="微软雅黑" w:eastAsia="微软雅黑"/>
                <w:b w:val="0"/>
              </w:rPr>
              <w:t>客户是否同意接收营销、保存资料和使用 AI 辅助。</w:t>
            </w:r>
          </w:p>
        </w:tc>
        <w:tc>
          <w:tcPr>
            <w:tcW w:type="dxa" w:w="2353"/>
            <w:vAlign w:val="center"/>
            <w:shd w:fill="FFFFFF"/>
          </w:tcPr>
          <w:p>
            <w:pPr>
              <w:spacing w:after="40"/>
            </w:pPr>
            <w:r/>
            <w:r>
              <w:rPr>
                <w:rFonts w:ascii="微软雅黑" w:hAnsi="微软雅黑" w:eastAsia="微软雅黑"/>
                <w:b w:val="0"/>
              </w:rPr>
              <w:t>高</w:t>
            </w:r>
          </w:p>
        </w:tc>
        <w:tc>
          <w:tcPr>
            <w:tcW w:type="dxa" w:w="2353"/>
            <w:vAlign w:val="center"/>
          </w:tcPr>
          <w:p>
            <w:pPr>
              <w:spacing w:after="40"/>
            </w:pPr>
            <w:r/>
            <w:r>
              <w:rPr>
                <w:rFonts w:ascii="微软雅黑" w:hAnsi="微软雅黑" w:eastAsia="微软雅黑"/>
                <w:b w:val="0"/>
              </w:rPr>
              <w:t>外部渠道和 AI 增强前</w:t>
            </w:r>
          </w:p>
        </w:tc>
      </w:tr>
      <w:tr>
        <w:tc>
          <w:tcPr>
            <w:tcW w:type="dxa" w:w="2353"/>
            <w:vAlign w:val="center"/>
          </w:tcPr>
          <w:p>
            <w:pPr>
              <w:spacing w:after="40"/>
            </w:pPr>
            <w:r/>
            <w:r>
              <w:rPr>
                <w:rFonts w:ascii="微软雅黑" w:hAnsi="微软雅黑" w:eastAsia="微软雅黑"/>
                <w:b w:val="0"/>
              </w:rPr>
              <w:t>预约与测量任务</w:t>
            </w:r>
          </w:p>
        </w:tc>
        <w:tc>
          <w:tcPr>
            <w:tcW w:type="dxa" w:w="2353"/>
            <w:vAlign w:val="center"/>
          </w:tcPr>
          <w:p>
            <w:pPr>
              <w:spacing w:after="40"/>
            </w:pPr>
            <w:r/>
            <w:r>
              <w:rPr>
                <w:rFonts w:ascii="微软雅黑" w:hAnsi="微软雅黑" w:eastAsia="微软雅黑"/>
                <w:b w:val="0"/>
              </w:rPr>
              <w:t>谁去量房、何时上门、客户爽约怎么办、测量员如何结算。</w:t>
            </w:r>
          </w:p>
        </w:tc>
        <w:tc>
          <w:tcPr>
            <w:tcW w:type="dxa" w:w="2353"/>
            <w:vAlign w:val="center"/>
            <w:shd w:fill="FFFFFF"/>
          </w:tcPr>
          <w:p>
            <w:pPr>
              <w:spacing w:after="40"/>
            </w:pPr>
            <w:r/>
            <w:r>
              <w:rPr>
                <w:rFonts w:ascii="微软雅黑" w:hAnsi="微软雅黑" w:eastAsia="微软雅黑"/>
                <w:b w:val="0"/>
              </w:rPr>
              <w:t>高</w:t>
            </w:r>
          </w:p>
        </w:tc>
        <w:tc>
          <w:tcPr>
            <w:tcW w:type="dxa" w:w="2353"/>
            <w:vAlign w:val="center"/>
          </w:tcPr>
          <w:p>
            <w:pPr>
              <w:spacing w:after="40"/>
            </w:pPr>
            <w:r/>
            <w:r>
              <w:rPr>
                <w:rFonts w:ascii="微软雅黑" w:hAnsi="微软雅黑" w:eastAsia="微软雅黑"/>
                <w:b w:val="0"/>
              </w:rPr>
              <w:t>共享测量员或规模化试点前</w:t>
            </w:r>
          </w:p>
        </w:tc>
      </w:tr>
      <w:tr>
        <w:tc>
          <w:tcPr>
            <w:tcW w:type="dxa" w:w="2353"/>
            <w:vAlign w:val="center"/>
          </w:tcPr>
          <w:p>
            <w:pPr>
              <w:spacing w:after="40"/>
            </w:pPr>
            <w:r/>
            <w:r>
              <w:rPr>
                <w:rFonts w:ascii="微软雅黑" w:hAnsi="微软雅黑" w:eastAsia="微软雅黑"/>
                <w:b w:val="0"/>
              </w:rPr>
              <w:t>客户分级与培育</w:t>
            </w:r>
          </w:p>
        </w:tc>
        <w:tc>
          <w:tcPr>
            <w:tcW w:type="dxa" w:w="2353"/>
            <w:vAlign w:val="center"/>
          </w:tcPr>
          <w:p>
            <w:pPr>
              <w:spacing w:after="40"/>
            </w:pPr>
            <w:r/>
            <w:r>
              <w:rPr>
                <w:rFonts w:ascii="微软雅黑" w:hAnsi="微软雅黑" w:eastAsia="微软雅黑"/>
                <w:b w:val="0"/>
              </w:rPr>
              <w:t>高意向客户优先处理，普通客户也不会无人跟进。</w:t>
            </w:r>
          </w:p>
        </w:tc>
        <w:tc>
          <w:tcPr>
            <w:tcW w:type="dxa" w:w="2353"/>
            <w:vAlign w:val="center"/>
            <w:shd w:fill="FFFFFF"/>
          </w:tcPr>
          <w:p>
            <w:pPr>
              <w:spacing w:after="40"/>
            </w:pPr>
            <w:r/>
            <w:r>
              <w:rPr>
                <w:rFonts w:ascii="微软雅黑" w:hAnsi="微软雅黑" w:eastAsia="微软雅黑"/>
                <w:b w:val="0"/>
              </w:rPr>
              <w:t>中</w:t>
            </w:r>
          </w:p>
        </w:tc>
        <w:tc>
          <w:tcPr>
            <w:tcW w:type="dxa" w:w="2353"/>
            <w:vAlign w:val="center"/>
          </w:tcPr>
          <w:p>
            <w:pPr>
              <w:spacing w:after="40"/>
            </w:pPr>
            <w:r/>
            <w:r>
              <w:rPr>
                <w:rFonts w:ascii="微软雅黑" w:hAnsi="微软雅黑" w:eastAsia="微软雅黑"/>
                <w:b w:val="0"/>
              </w:rPr>
              <w:t>已有稳定线索量后</w:t>
            </w:r>
          </w:p>
        </w:tc>
      </w:tr>
      <w:tr>
        <w:tc>
          <w:tcPr>
            <w:tcW w:type="dxa" w:w="2353"/>
            <w:vAlign w:val="center"/>
          </w:tcPr>
          <w:p>
            <w:pPr>
              <w:spacing w:after="40"/>
            </w:pPr>
            <w:r/>
            <w:r>
              <w:rPr>
                <w:rFonts w:ascii="微软雅黑" w:hAnsi="微软雅黑" w:eastAsia="微软雅黑"/>
                <w:b w:val="0"/>
              </w:rPr>
              <w:t>效果图分级交付</w:t>
            </w:r>
          </w:p>
        </w:tc>
        <w:tc>
          <w:tcPr>
            <w:tcW w:type="dxa" w:w="2353"/>
            <w:vAlign w:val="center"/>
          </w:tcPr>
          <w:p>
            <w:pPr>
              <w:spacing w:after="40"/>
            </w:pPr>
            <w:r/>
            <w:r>
              <w:rPr>
                <w:rFonts w:ascii="微软雅黑" w:hAnsi="微软雅黑" w:eastAsia="微软雅黑"/>
                <w:b w:val="0"/>
              </w:rPr>
              <w:t>区分快速沟通图、精细方案图和人工深化成果，避免过度承诺。</w:t>
            </w:r>
          </w:p>
        </w:tc>
        <w:tc>
          <w:tcPr>
            <w:tcW w:type="dxa" w:w="2353"/>
            <w:vAlign w:val="center"/>
            <w:shd w:fill="FFFFFF"/>
          </w:tcPr>
          <w:p>
            <w:pPr>
              <w:spacing w:after="40"/>
            </w:pPr>
            <w:r/>
            <w:r>
              <w:rPr>
                <w:rFonts w:ascii="微软雅黑" w:hAnsi="微软雅黑" w:eastAsia="微软雅黑"/>
                <w:b w:val="0"/>
              </w:rPr>
              <w:t>高</w:t>
            </w:r>
          </w:p>
        </w:tc>
        <w:tc>
          <w:tcPr>
            <w:tcW w:type="dxa" w:w="2353"/>
            <w:vAlign w:val="center"/>
          </w:tcPr>
          <w:p>
            <w:pPr>
              <w:spacing w:after="40"/>
            </w:pPr>
            <w:r/>
            <w:r>
              <w:rPr>
                <w:rFonts w:ascii="微软雅黑" w:hAnsi="微软雅黑" w:eastAsia="微软雅黑"/>
                <w:b w:val="0"/>
              </w:rPr>
              <w:t>对外推广免费效果图前</w:t>
            </w:r>
          </w:p>
        </w:tc>
      </w:tr>
      <w:tr>
        <w:tc>
          <w:tcPr>
            <w:tcW w:type="dxa" w:w="2353"/>
            <w:vAlign w:val="center"/>
          </w:tcPr>
          <w:p>
            <w:pPr>
              <w:spacing w:after="40"/>
            </w:pPr>
            <w:r/>
            <w:r>
              <w:rPr>
                <w:rFonts w:ascii="微软雅黑" w:hAnsi="微软雅黑" w:eastAsia="微软雅黑"/>
                <w:b w:val="0"/>
              </w:rPr>
              <w:t>客户评价与满意度</w:t>
            </w:r>
          </w:p>
        </w:tc>
        <w:tc>
          <w:tcPr>
            <w:tcW w:type="dxa" w:w="2353"/>
            <w:vAlign w:val="center"/>
          </w:tcPr>
          <w:p>
            <w:pPr>
              <w:spacing w:after="40"/>
            </w:pPr>
            <w:r/>
            <w:r>
              <w:rPr>
                <w:rFonts w:ascii="微软雅黑" w:hAnsi="微软雅黑" w:eastAsia="微软雅黑"/>
                <w:b w:val="0"/>
              </w:rPr>
              <w:t>知道服务质量，形成服务改进依据。</w:t>
            </w:r>
          </w:p>
        </w:tc>
        <w:tc>
          <w:tcPr>
            <w:tcW w:type="dxa" w:w="2353"/>
            <w:vAlign w:val="center"/>
            <w:shd w:fill="FFFFFF"/>
          </w:tcPr>
          <w:p>
            <w:pPr>
              <w:spacing w:after="40"/>
            </w:pPr>
            <w:r/>
            <w:r>
              <w:rPr>
                <w:rFonts w:ascii="微软雅黑" w:hAnsi="微软雅黑" w:eastAsia="微软雅黑"/>
                <w:b w:val="0"/>
              </w:rPr>
              <w:t>中</w:t>
            </w:r>
          </w:p>
        </w:tc>
        <w:tc>
          <w:tcPr>
            <w:tcW w:type="dxa" w:w="2353"/>
            <w:vAlign w:val="center"/>
          </w:tcPr>
          <w:p>
            <w:pPr>
              <w:spacing w:after="40"/>
            </w:pPr>
            <w:r/>
            <w:r>
              <w:rPr>
                <w:rFonts w:ascii="微软雅黑" w:hAnsi="微软雅黑" w:eastAsia="微软雅黑"/>
                <w:b w:val="0"/>
              </w:rPr>
              <w:t>正式扩大客户量后</w:t>
            </w:r>
          </w:p>
        </w:tc>
      </w:tr>
      <w:tr>
        <w:tc>
          <w:tcPr>
            <w:tcW w:type="dxa" w:w="2353"/>
            <w:vAlign w:val="center"/>
          </w:tcPr>
          <w:p>
            <w:pPr>
              <w:spacing w:after="40"/>
            </w:pPr>
            <w:r/>
            <w:r>
              <w:rPr>
                <w:rFonts w:ascii="微软雅黑" w:hAnsi="微软雅黑" w:eastAsia="微软雅黑"/>
                <w:b w:val="0"/>
              </w:rPr>
              <w:t>经营看板与 ROI</w:t>
            </w:r>
          </w:p>
        </w:tc>
        <w:tc>
          <w:tcPr>
            <w:tcW w:type="dxa" w:w="2353"/>
            <w:vAlign w:val="center"/>
          </w:tcPr>
          <w:p>
            <w:r>
              <w:t>能力阶段哪个渠道值得投入、哪个团队需要调整。</w:t>
            </w:r>
          </w:p>
        </w:tc>
        <w:tc>
          <w:tcPr>
            <w:tcW w:type="dxa" w:w="2353"/>
            <w:vAlign w:val="center"/>
            <w:shd w:fill="FFFFFF"/>
          </w:tcPr>
          <w:p>
            <w:pPr>
              <w:spacing w:after="40"/>
            </w:pPr>
            <w:r/>
            <w:r>
              <w:rPr>
                <w:rFonts w:ascii="微软雅黑" w:hAnsi="微软雅黑" w:eastAsia="微软雅黑"/>
                <w:b w:val="0"/>
              </w:rPr>
              <w:t>中</w:t>
            </w:r>
          </w:p>
        </w:tc>
        <w:tc>
          <w:tcPr>
            <w:tcW w:type="dxa" w:w="2353"/>
            <w:vAlign w:val="center"/>
          </w:tcPr>
          <w:p>
            <w:pPr>
              <w:spacing w:after="40"/>
            </w:pPr>
            <w:r/>
            <w:r>
              <w:rPr>
                <w:rFonts w:ascii="微软雅黑" w:hAnsi="微软雅黑" w:eastAsia="微软雅黑"/>
                <w:b w:val="0"/>
              </w:rPr>
              <w:t>产生真实成本和签约数据后</w:t>
            </w:r>
          </w:p>
        </w:tc>
      </w:tr>
      <w:tr>
        <w:tc>
          <w:tcPr>
            <w:tcW w:type="dxa" w:w="2353"/>
            <w:vAlign w:val="center"/>
          </w:tcPr>
          <w:p>
            <w:pPr>
              <w:spacing w:after="40"/>
            </w:pPr>
            <w:r/>
            <w:r>
              <w:rPr>
                <w:rFonts w:ascii="微软雅黑" w:hAnsi="微软雅黑" w:eastAsia="微软雅黑"/>
                <w:b w:val="0"/>
              </w:rPr>
              <w:t>自动支付与财务分账</w:t>
            </w:r>
          </w:p>
        </w:tc>
        <w:tc>
          <w:tcPr>
            <w:tcW w:type="dxa" w:w="2353"/>
            <w:vAlign w:val="center"/>
          </w:tcPr>
          <w:p>
            <w:pPr>
              <w:spacing w:after="40"/>
            </w:pPr>
            <w:r/>
            <w:r>
              <w:rPr>
                <w:rFonts w:ascii="微软雅黑" w:hAnsi="微软雅黑" w:eastAsia="微软雅黑"/>
                <w:b w:val="0"/>
              </w:rPr>
              <w:t>佣金如何付款、退款、作废和处理税务。</w:t>
            </w:r>
          </w:p>
        </w:tc>
        <w:tc>
          <w:tcPr>
            <w:tcW w:type="dxa" w:w="2353"/>
            <w:vAlign w:val="center"/>
            <w:shd w:fill="FFFFFF"/>
          </w:tcPr>
          <w:p>
            <w:pPr>
              <w:spacing w:after="40"/>
            </w:pPr>
            <w:r/>
            <w:r>
              <w:rPr>
                <w:rFonts w:ascii="微软雅黑" w:hAnsi="微软雅黑" w:eastAsia="微软雅黑"/>
                <w:b w:val="0"/>
              </w:rPr>
              <w:t>高</w:t>
            </w:r>
          </w:p>
        </w:tc>
        <w:tc>
          <w:tcPr>
            <w:tcW w:type="dxa" w:w="2353"/>
            <w:vAlign w:val="center"/>
          </w:tcPr>
          <w:p>
            <w:pPr>
              <w:spacing w:after="40"/>
            </w:pPr>
            <w:r/>
            <w:r>
              <w:rPr>
                <w:rFonts w:ascii="微软雅黑" w:hAnsi="微软雅黑" w:eastAsia="微软雅黑"/>
                <w:b w:val="0"/>
              </w:rPr>
              <w:t>正式开放外部佣金前</w:t>
            </w:r>
          </w:p>
        </w:tc>
      </w:tr>
    </w:tbl>
    <w:p/>
    <w:p>
      <w:pPr>
        <w:pStyle w:val="Heading1"/>
      </w:pPr>
      <w:r>
        <w:t>六、建议的分阶段落地路线</w:t>
      </w:r>
    </w:p>
    <w:tbl>
      <w:tblPr>
        <w:tblStyle w:val="TableGrid"/>
        <w:tblW w:type="auto" w:w="0"/>
        <w:jc w:val="center"/>
        <w:tblLook w:firstColumn="1" w:firstRow="1" w:lastColumn="0" w:lastRow="0" w:noHBand="0" w:noVBand="1" w:val="04A0"/>
      </w:tblPr>
      <w:tblGrid>
        <w:gridCol w:w="3137"/>
        <w:gridCol w:w="3137"/>
        <w:gridCol w:w="3137"/>
      </w:tblGrid>
      <w:tr>
        <w:tc>
          <w:tcPr>
            <w:tcW w:type="dxa" w:w="3137"/>
            <w:vAlign w:val="center"/>
            <w:shd w:fill="1F4E79"/>
          </w:tcPr>
          <w:p>
            <w:pPr>
              <w:spacing w:after="40"/>
            </w:pPr>
            <w:r>
              <w:rPr>
                <w:color w:val="FFFFFF"/>
              </w:rPr>
            </w:r>
            <w:r>
              <w:rPr>
                <w:rFonts w:ascii="微软雅黑" w:hAnsi="微软雅黑" w:eastAsia="微软雅黑"/>
                <w:b/>
              </w:rPr>
              <w:t>阶段</w:t>
            </w:r>
          </w:p>
        </w:tc>
        <w:tc>
          <w:tcPr>
            <w:tcW w:type="dxa" w:w="3137"/>
            <w:vAlign w:val="center"/>
            <w:shd w:fill="1F4E79"/>
          </w:tcPr>
          <w:p>
            <w:pPr>
              <w:spacing w:after="40"/>
            </w:pPr>
            <w:r>
              <w:rPr>
                <w:color w:val="FFFFFF"/>
              </w:rPr>
            </w:r>
            <w:r>
              <w:rPr>
                <w:rFonts w:ascii="微软雅黑" w:hAnsi="微软雅黑" w:eastAsia="微软雅黑"/>
                <w:b/>
              </w:rPr>
              <w:t>建议范围</w:t>
            </w:r>
          </w:p>
        </w:tc>
        <w:tc>
          <w:tcPr>
            <w:tcW w:type="dxa" w:w="3137"/>
            <w:vAlign w:val="center"/>
            <w:shd w:fill="1F4E79"/>
          </w:tcPr>
          <w:p>
            <w:pPr>
              <w:spacing w:after="40"/>
            </w:pPr>
            <w:r>
              <w:rPr>
                <w:color w:val="FFFFFF"/>
              </w:rPr>
            </w:r>
            <w:r>
              <w:rPr>
                <w:rFonts w:ascii="微软雅黑" w:hAnsi="微软雅黑" w:eastAsia="微软雅黑"/>
                <w:b/>
              </w:rPr>
              <w:t>目标</w:t>
            </w:r>
          </w:p>
        </w:tc>
      </w:tr>
      <w:tr>
        <w:tc>
          <w:tcPr>
            <w:tcW w:type="dxa" w:w="3137"/>
            <w:vAlign w:val="center"/>
          </w:tcPr>
          <w:p>
            <w:pPr>
              <w:spacing w:after="40"/>
            </w:pPr>
            <w:r/>
            <w:r>
              <w:rPr>
                <w:rFonts w:ascii="微软雅黑" w:hAnsi="微软雅黑" w:eastAsia="微软雅黑"/>
                <w:b w:val="0"/>
              </w:rPr>
              <w:t>第一阶段：内部协作版</w:t>
            </w:r>
          </w:p>
        </w:tc>
        <w:tc>
          <w:tcPr>
            <w:tcW w:type="dxa" w:w="3137"/>
            <w:vAlign w:val="center"/>
          </w:tcPr>
          <w:p>
            <w:pPr>
              <w:spacing w:after="40"/>
            </w:pPr>
            <w:r/>
            <w:r>
              <w:rPr>
                <w:rFonts w:ascii="微软雅黑" w:hAnsi="微软雅黑" w:eastAsia="微软雅黑"/>
                <w:b w:val="0"/>
              </w:rPr>
              <w:t>线索管理、设计师/测量员协作、正式量房、AI 设计、跟进记录、人工提成结算。</w:t>
            </w:r>
          </w:p>
        </w:tc>
        <w:tc>
          <w:tcPr>
            <w:tcW w:type="dxa" w:w="3137"/>
            <w:vAlign w:val="center"/>
          </w:tcPr>
          <w:p>
            <w:pPr>
              <w:spacing w:after="40"/>
            </w:pPr>
            <w:r/>
            <w:r>
              <w:rPr>
                <w:rFonts w:ascii="微软雅黑" w:hAnsi="微软雅黑" w:eastAsia="微软雅黑"/>
                <w:b w:val="0"/>
              </w:rPr>
              <w:t>先让装企内部流程稳定跑通。</w:t>
            </w:r>
          </w:p>
        </w:tc>
      </w:tr>
      <w:tr>
        <w:tc>
          <w:tcPr>
            <w:tcW w:type="dxa" w:w="3137"/>
            <w:vAlign w:val="center"/>
          </w:tcPr>
          <w:p>
            <w:pPr>
              <w:spacing w:after="40"/>
            </w:pPr>
            <w:r/>
            <w:r>
              <w:rPr>
                <w:rFonts w:ascii="微软雅黑" w:hAnsi="微软雅黑" w:eastAsia="微软雅黑"/>
                <w:b w:val="0"/>
              </w:rPr>
              <w:t>第二阶段：合作推荐版</w:t>
            </w:r>
          </w:p>
        </w:tc>
        <w:tc>
          <w:tcPr>
            <w:tcW w:type="dxa" w:w="3137"/>
            <w:vAlign w:val="center"/>
          </w:tcPr>
          <w:p>
            <w:pPr>
              <w:spacing w:after="40"/>
            </w:pPr>
            <w:r/>
            <w:r>
              <w:rPr>
                <w:rFonts w:ascii="微软雅黑" w:hAnsi="微软雅黑" w:eastAsia="微软雅黑"/>
                <w:b w:val="0"/>
              </w:rPr>
              <w:t>推荐人档案、推荐二维码、客户授权、来源确认、推荐收益规则和人工审核。</w:t>
            </w:r>
          </w:p>
        </w:tc>
        <w:tc>
          <w:tcPr>
            <w:tcW w:type="dxa" w:w="3137"/>
            <w:vAlign w:val="center"/>
          </w:tcPr>
          <w:p>
            <w:pPr>
              <w:spacing w:after="40"/>
            </w:pPr>
            <w:r/>
            <w:r>
              <w:rPr>
                <w:rFonts w:ascii="微软雅黑" w:hAnsi="微软雅黑" w:eastAsia="微软雅黑"/>
                <w:b w:val="0"/>
              </w:rPr>
              <w:t>验证外部推荐是否真的带来有效客户。</w:t>
            </w:r>
          </w:p>
        </w:tc>
      </w:tr>
      <w:tr>
        <w:tc>
          <w:tcPr>
            <w:tcW w:type="dxa" w:w="3137"/>
            <w:vAlign w:val="center"/>
          </w:tcPr>
          <w:p>
            <w:pPr>
              <w:spacing w:after="40"/>
            </w:pPr>
            <w:r/>
            <w:r>
              <w:rPr>
                <w:rFonts w:ascii="微软雅黑" w:hAnsi="微软雅黑" w:eastAsia="微软雅黑"/>
                <w:b w:val="0"/>
              </w:rPr>
              <w:t>第三阶段：规模运营版</w:t>
            </w:r>
          </w:p>
        </w:tc>
        <w:tc>
          <w:tcPr>
            <w:tcW w:type="dxa" w:w="3137"/>
            <w:vAlign w:val="center"/>
          </w:tcPr>
          <w:p>
            <w:pPr>
              <w:spacing w:after="40"/>
            </w:pPr>
            <w:r/>
            <w:r>
              <w:rPr>
                <w:rFonts w:ascii="微软雅黑" w:hAnsi="微软雅黑" w:eastAsia="微软雅黑"/>
                <w:b w:val="0"/>
              </w:rPr>
              <w:t>预约调度、活动管理、线上平台承接、客户分级、培育任务和评价体系。</w:t>
            </w:r>
          </w:p>
        </w:tc>
        <w:tc>
          <w:tcPr>
            <w:tcW w:type="dxa" w:w="3137"/>
            <w:vAlign w:val="center"/>
          </w:tcPr>
          <w:p>
            <w:pPr>
              <w:spacing w:after="40"/>
            </w:pPr>
            <w:r/>
            <w:r>
              <w:rPr>
                <w:rFonts w:ascii="微软雅黑" w:hAnsi="微软雅黑" w:eastAsia="微软雅黑"/>
                <w:b w:val="0"/>
              </w:rPr>
              <w:t>支持多个小区和多个渠道同时运行。</w:t>
            </w:r>
          </w:p>
        </w:tc>
      </w:tr>
      <w:tr>
        <w:tc>
          <w:tcPr>
            <w:tcW w:type="dxa" w:w="3137"/>
            <w:vAlign w:val="center"/>
          </w:tcPr>
          <w:p>
            <w:pPr>
              <w:spacing w:after="40"/>
            </w:pPr>
            <w:r/>
            <w:r>
              <w:rPr>
                <w:rFonts w:ascii="微软雅黑" w:hAnsi="微软雅黑" w:eastAsia="微软雅黑"/>
                <w:b w:val="0"/>
              </w:rPr>
              <w:t>第四阶段：经营决策版</w:t>
            </w:r>
          </w:p>
        </w:tc>
        <w:tc>
          <w:tcPr>
            <w:tcW w:type="dxa" w:w="3137"/>
            <w:vAlign w:val="center"/>
          </w:tcPr>
          <w:p>
            <w:pPr>
              <w:spacing w:after="40"/>
            </w:pPr>
            <w:r/>
            <w:r>
              <w:rPr>
                <w:rFonts w:ascii="微软雅黑" w:hAnsi="微软雅黑" w:eastAsia="微软雅黑"/>
                <w:b w:val="0"/>
              </w:rPr>
              <w:t>渠道成本、签约收入、利润、排名、预警、自动结算和高级 AI 辅助。</w:t>
            </w:r>
          </w:p>
        </w:tc>
        <w:tc>
          <w:tcPr>
            <w:tcW w:type="dxa" w:w="3137"/>
            <w:vAlign w:val="center"/>
          </w:tcPr>
          <w:p>
            <w:pPr>
              <w:spacing w:after="40"/>
            </w:pPr>
            <w:r/>
            <w:r>
              <w:rPr>
                <w:rFonts w:ascii="微软雅黑" w:hAnsi="微软雅黑" w:eastAsia="微软雅黑"/>
                <w:b w:val="0"/>
              </w:rPr>
              <w:t>帮助老板决定预算、人员和制度。</w:t>
            </w:r>
          </w:p>
        </w:tc>
      </w:tr>
    </w:tbl>
    <w:p/>
    <w:p>
      <w:pPr/>
      <w:r>
        <w:t>建议先从第一阶段开始，验证实际使用效果后再逐步扩展后续阶段。</w:t>
      </w:r>
    </w:p>
    <w:p>
      <w:pPr>
        <w:pStyle w:val="Heading1"/>
      </w:pPr>
      <w:r>
        <w:t>七、产品能力边界说明</w:t>
      </w:r>
    </w:p>
    <w:p>
      <w:pPr>
        <w:pStyle w:val="ListBullet"/>
      </w:pPr>
      <w:r>
        <w:t>现阶段产品可用于：客户线索管理、设计师与测量员协作、正式智能量房、AI 设计方案、方案过程记录和获客提成管理。</w:t>
      </w:r>
    </w:p>
    <w:p>
      <w:pPr>
        <w:pStyle w:val="ListBullet"/>
      </w:pPr>
      <w:r>
        <w:t>后续建设能力包括：自动获客、AI 自动跟进、AI 情绪识别、施工级效果图、全渠道 ROI、自动佣金发放。</w:t>
      </w:r>
    </w:p>
    <w:p>
      <w:pPr>
        <w:pStyle w:val="ListBullet"/>
      </w:pPr>
      <w:r>
        <w:t>适合对外采用的产品表述：AI 辅助设计、快速生成沟通方案、量房数据直接进入设计、获客提成可追踪、经营数据逐步完善。</w:t>
      </w:r>
    </w:p>
    <w:p>
      <w:pPr>
        <w:pStyle w:val="Heading1"/>
      </w:pPr>
      <w:r>
        <w:t>八、合作与落地建议</w:t>
      </w:r>
    </w:p>
    <w:p>
      <w:pPr/>
      <w:r>
        <w:t>如果目标是尽快开始使用，建议以现阶段已具备的“内部协作版”作为首期产品，不要把 V7.0 全部目标作为首期交付承诺。</w:t>
      </w:r>
    </w:p>
    <w:p>
      <w:pPr/>
      <w:r>
        <w:t>如目标是建设完整的外部获客平台，建议先确认推荐人合作、佣金税务、客户授权、来源归属和效果图交付边界，再进入第二阶段规划。</w:t>
      </w:r>
    </w:p>
    <w:p>
      <w:pPr/>
      <w:r>
        <w:t>本文件用于明确产品现阶段范围与后续建设路线，便于双方确定首期合作范围和阶段目标。</w:t>
      </w:r>
    </w:p>
    <w:sectPr w:rsidR="00FC693F" w:rsidRPr="0006063C" w:rsidSect="00034616">
      <w:footerReference w:type="default" r:id="rId9"/>
      <w:pgSz w:w="11906" w:h="16838"/>
      <w:pgMar w:top="1304" w:right="1247" w:bottom="130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微软雅黑" w:hAnsi="微软雅黑" w:eastAsia="微软雅黑"/>
        <w:b w:val="0"/>
        <w:i w:val="0"/>
        <w:color w:val="999999"/>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76" w:lineRule="auto"/>
    </w:pPr>
    <w:rPr>
      <w:rFonts w:ascii="微软雅黑" w:hAnsi="微软雅黑" w:eastAsia="微软雅黑"/>
      <w:b w:val="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微软雅黑" w:hAnsi="微软雅黑" w:eastAsia="微软雅黑"/>
      <w:b/>
      <w:bCs/>
      <w:color w:val="1F4E79"/>
      <w:sz w:val="34"/>
      <w:szCs w:val="28"/>
    </w:rPr>
  </w:style>
  <w:style w:type="paragraph" w:styleId="Heading2">
    <w:name w:val="heading 2"/>
    <w:basedOn w:val="Normal"/>
    <w:next w:val="Normal"/>
    <w:link w:val="Heading2Char"/>
    <w:uiPriority w:val="9"/>
    <w:unhideWhenUsed/>
    <w:qFormat/>
    <w:rsid w:val="00FC693F"/>
    <w:pPr>
      <w:keepNext/>
      <w:keepLines/>
      <w:spacing w:before="280" w:after="160"/>
      <w:outlineLvl w:val="1"/>
    </w:pPr>
    <w:rPr>
      <w:rFonts w:asciiTheme="majorHAnsi" w:eastAsiaTheme="majorEastAsia" w:hAnsiTheme="majorHAnsi" w:cstheme="majorBidi" w:ascii="微软雅黑" w:hAnsi="微软雅黑" w:eastAsia="微软雅黑"/>
      <w:b/>
      <w:bCs/>
      <w:color w:val="2E74B5"/>
      <w:sz w:val="27"/>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微软雅黑" w:hAnsi="微软雅黑" w:eastAsia="微软雅黑"/>
      <w:b/>
      <w:bCs/>
      <w:color w:val="333333"/>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