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组织者（串场）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给组织这次内测的人。测试同事一般不需要读这一份。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发放方式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先发：`装修服务内测-所有人先看.docx`（全员必读）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分配角色后，再发对应：`装修服务内测-角色-*.docx`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账号、后台网址、进哪家公司，单独私发，不要写进说明书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不要把开发计划 `referrer-network-appointment-development-plan*.md` 发给非技术同事。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建议半天顺序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所有人读总册 + 看流程图（10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张总开张前清单（20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入职：小美、阿强、老周（15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4.  </w:t>
      </w:r>
      <w:r>
        <w:rPr>
          <w:rFonts w:ascii="Calibri" w:hAnsi="Calibri" w:eastAsia="Microsoft YaHei"/>
          <w:b w:val="0"/>
          <w:color w:val="1F2A26"/>
          <w:sz w:val="22"/>
        </w:rPr>
        <w:t>路线 A：李女士从领取到签单（60–90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5.  </w:t>
      </w:r>
      <w:r>
        <w:rPr>
          <w:rFonts w:ascii="Calibri" w:hAnsi="Calibri" w:eastAsia="Microsoft YaHei"/>
          <w:b w:val="0"/>
          <w:color w:val="1F2A26"/>
          <w:sz w:val="22"/>
        </w:rPr>
        <w:t>路线 B：王先生活动码到签单（40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6.  </w:t>
      </w:r>
      <w:r>
        <w:rPr>
          <w:rFonts w:ascii="Calibri" w:hAnsi="Calibri" w:eastAsia="Microsoft YaHei"/>
          <w:b w:val="0"/>
          <w:color w:val="1F2A26"/>
          <w:sz w:val="22"/>
        </w:rPr>
        <w:t>过期再约（30 分钟；可先把时长改短）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7.  </w:t>
      </w:r>
      <w:r>
        <w:rPr>
          <w:rFonts w:ascii="Calibri" w:hAnsi="Calibri" w:eastAsia="Microsoft YaHei"/>
          <w:b w:val="0"/>
          <w:color w:val="1F2A26"/>
          <w:sz w:val="22"/>
        </w:rPr>
        <w:t>缺人待派 + 重试（20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8.  </w:t>
      </w:r>
      <w:r>
        <w:rPr>
          <w:rFonts w:ascii="Calibri" w:hAnsi="Calibri" w:eastAsia="Microsoft YaHei"/>
          <w:b w:val="0"/>
          <w:color w:val="1F2A26"/>
          <w:sz w:val="22"/>
        </w:rPr>
        <w:t>各角色说明书里的「故意试一下」（30 分钟）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9.  </w:t>
      </w:r>
      <w:r>
        <w:rPr>
          <w:rFonts w:ascii="Calibri" w:hAnsi="Calibri" w:eastAsia="Microsoft YaHei"/>
          <w:b w:val="0"/>
          <w:color w:val="1F2A26"/>
          <w:sz w:val="22"/>
        </w:rPr>
        <w:t>介绍人停用旧码、提成点已付（15 分钟）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请至少留下这些截图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领取成功页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客户服务页：已预约 / 已过期 / 方案已发布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测量员提交量房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客户看到的方案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三方提成 3 条（朋友介绍）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提成 2 条（活动码）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仓库文件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4819"/>
        <w:gridCol w:w="4819"/>
      </w:tblGrid>
      <w:tr>
        <w:tc>
          <w:tcPr>
            <w:tcW w:type="dxa" w:w="4819"/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819"/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`00-所有人先看.md`</w:t>
            </w:r>
          </w:p>
        </w:tc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总册对照</w:t>
            </w:r>
          </w:p>
        </w:tc>
      </w:tr>
      <w:tr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`角色-*.md`</w:t>
            </w:r>
          </w:p>
        </w:tc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角色说明书对照</w:t>
            </w:r>
          </w:p>
        </w:tc>
      </w:tr>
      <w:tr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`assets/workflow-*.png`</w:t>
            </w:r>
          </w:p>
        </w:tc>
        <w:tc>
          <w:tcPr>
            <w:tcW w:type="dxa" w:w="4819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流程图</w:t>
            </w:r>
          </w:p>
        </w:tc>
      </w:tr>
      <w:tr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`../referrer-network-internal-test-handbook.zh-CN.md`</w:t>
            </w:r>
          </w:p>
        </w:tc>
        <w:tc>
          <w:tcPr>
            <w:tcW w:type="dxa" w:w="4819"/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  <w:tcBorders>
              <w:top w:val="single" w:sz="4" w:space="0" w:color="C5D5CC"/>
              <w:left w:val="single" w:sz="4" w:space="0" w:color="C5D5CC"/>
              <w:bottom w:val="single" w:sz="4" w:space="0" w:color="C5D5CC"/>
              <w:right w:val="single" w:sz="4" w:space="0" w:color="C5D5CC"/>
            </w:tcBorders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A26"/>
                <w:sz w:val="20"/>
              </w:rPr>
              <w:t>旧版合订本（仍保留，新结构优先用本文件夹）</w:t>
            </w:r>
          </w:p>
        </w:tc>
      </w:tr>
    </w:tbl>
    <w:p>
      <w:pPr>
        <w:spacing w:before="40" w:after="200" w:line="293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角色-组织者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角色-组织者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