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pPr>
      <w:r>
        <w:rPr>
          <w:rFonts w:ascii="Arial" w:cs="Arial" w:eastAsia="Arial" w:hAnsi="Arial"/>
          <w:b/>
          <w:bCs/>
          <w:sz w:val="36"/>
          <w:szCs w:val="36"/>
        </w:rPr>
        <w:t xml:space="preserve">Forge v2: Build Brief</w:t>
      </w:r>
    </w:p>
    <w:p>
      <w:pPr>
        <w:spacing w:after="120" w:before="0"/>
      </w:pPr>
      <w:r>
        <w:rPr>
          <w:rFonts w:ascii="Arial" w:cs="Arial" w:eastAsia="Arial" w:hAnsi="Arial"/>
          <w:i/>
          <w:iCs/>
          <w:color w:val="666666"/>
          <w:sz w:val="20"/>
          <w:szCs w:val="20"/>
        </w:rPr>
        <w:t xml:space="preserve">PE Financial Analyst Practice Tool</w:t>
      </w:r>
    </w:p>
    <w:p>
      <w:pPr>
        <w:spacing w:after="120" w:before="0"/>
      </w:pPr>
      <w:r>
        <w:rPr>
          <w:rFonts w:ascii="Arial" w:cs="Arial" w:eastAsia="Arial" w:hAnsi="Arial"/>
          <w:i/>
          <w:iCs/>
          <w:color w:val="666666"/>
          <w:sz w:val="20"/>
          <w:szCs w:val="20"/>
        </w:rPr>
        <w:t xml:space="preserve">March 18, 2026</w:t>
      </w:r>
    </w:p>
    <w:p>
      <w:pPr>
        <w:pBdr>
          <w:bottom w:val="single" w:color="CCCCCC" w:sz="6" w:space="1"/>
        </w:pBdr>
        <w:spacing w:after="200" w:before="200"/>
      </w:pPr>
    </w:p>
    <w:p>
      <w:pPr>
        <w:pStyle w:val="Heading2"/>
        <w:spacing w:after="120" w:before="300"/>
      </w:pPr>
      <w:r>
        <w:rPr>
          <w:rFonts w:ascii="Arial" w:cs="Arial" w:eastAsia="Arial" w:hAnsi="Arial"/>
          <w:b/>
          <w:bCs/>
          <w:sz w:val="30"/>
          <w:szCs w:val="30"/>
        </w:rPr>
        <w:t xml:space="preserve">Purpose</w:t>
      </w:r>
    </w:p>
    <w:p>
      <w:pPr>
        <w:spacing w:after="120" w:before="0"/>
      </w:pPr>
      <w:r>
        <w:rPr>
          <w:rFonts w:ascii="Arial" w:cs="Arial" w:eastAsia="Arial" w:hAnsi="Arial"/>
          <w:sz w:val="24"/>
          <w:szCs w:val="24"/>
        </w:rPr>
        <w:t xml:space="preserve">Forge is a practice tool that builds PE deal analysis fluency through realistic LMM company scenarios. v1 covers deal evaluation (read financials, spot issues, form a thesis). v2 extends into two new dimensions: (1) a </w:t>
      </w:r>
      <w:r>
        <w:rPr>
          <w:rFonts w:ascii="Arial" w:cs="Arial" w:eastAsia="Arial" w:hAnsi="Arial"/>
          <w:b/>
          <w:bCs/>
          <w:sz w:val="24"/>
          <w:szCs w:val="24"/>
        </w:rPr>
        <w:t xml:space="preserve">Learn Module</w:t>
      </w:r>
      <w:r>
        <w:rPr>
          <w:rFonts w:ascii="Arial" w:cs="Arial" w:eastAsia="Arial" w:hAnsi="Arial"/>
          <w:sz w:val="24"/>
          <w:szCs w:val="24"/>
        </w:rPr>
        <w:t xml:space="preserve"> that teaches how to read and analyze financial statements with a PE buyer’s lens, and (2) </w:t>
      </w:r>
      <w:r>
        <w:rPr>
          <w:rFonts w:ascii="Arial" w:cs="Arial" w:eastAsia="Arial" w:hAnsi="Arial"/>
          <w:b/>
          <w:bCs/>
          <w:sz w:val="24"/>
          <w:szCs w:val="24"/>
        </w:rPr>
        <w:t xml:space="preserve">post-acquisition value creation</w:t>
      </w:r>
      <w:r>
        <w:rPr>
          <w:rFonts w:ascii="Arial" w:cs="Arial" w:eastAsia="Arial" w:hAnsi="Arial"/>
          <w:sz w:val="24"/>
          <w:szCs w:val="24"/>
        </w:rPr>
        <w:t xml:space="preserve"> stages focused on identifying AI deployment opportunities inside portfolio companies.</w:t>
      </w:r>
    </w:p>
    <w:p>
      <w:pPr>
        <w:spacing w:after="120" w:before="0"/>
      </w:pPr>
      <w:r>
        <w:rPr>
          <w:rFonts w:ascii="Arial" w:cs="Arial" w:eastAsia="Arial" w:hAnsi="Arial"/>
          <w:b/>
          <w:bCs/>
          <w:sz w:val="24"/>
          <w:szCs w:val="24"/>
        </w:rPr>
        <w:t xml:space="preserve">End state: </w:t>
      </w:r>
      <w:r>
        <w:rPr>
          <w:rFonts w:ascii="Arial" w:cs="Arial" w:eastAsia="Arial" w:hAnsi="Arial"/>
          <w:sz w:val="24"/>
          <w:szCs w:val="24"/>
        </w:rPr>
        <w:t xml:space="preserve">given a set of LMM financials you’ve never seen, you can walk someone through the full arc... what the numbers say, what’s happening operationally, where AI creates value, and how you’d sequence the first 90 days... fluently, with dollar estimates, in a live conversation.</w:t>
      </w:r>
    </w:p>
    <w:p>
      <w:pPr>
        <w:pBdr>
          <w:bottom w:val="single" w:color="CCCCCC" w:sz="6" w:space="1"/>
        </w:pBdr>
        <w:spacing w:after="200" w:before="200"/>
      </w:pPr>
    </w:p>
    <w:p>
      <w:r>
        <w:br w:type="page"/>
      </w:r>
    </w:p>
    <w:p>
      <w:pPr>
        <w:pStyle w:val="Heading1"/>
        <w:spacing w:after="120" w:before="360"/>
      </w:pPr>
      <w:r>
        <w:rPr>
          <w:rFonts w:ascii="Arial" w:cs="Arial" w:eastAsia="Arial" w:hAnsi="Arial"/>
          <w:b/>
          <w:bCs/>
          <w:sz w:val="36"/>
          <w:szCs w:val="36"/>
        </w:rPr>
        <w:t xml:space="preserve">Part 1: The Learn Module</w:t>
      </w:r>
    </w:p>
    <w:p>
      <w:pPr>
        <w:spacing w:after="120" w:before="0"/>
      </w:pPr>
      <w:r>
        <w:rPr>
          <w:rFonts w:ascii="Arial" w:cs="Arial" w:eastAsia="Arial" w:hAnsi="Arial"/>
          <w:i/>
          <w:iCs/>
          <w:sz w:val="24"/>
          <w:szCs w:val="24"/>
        </w:rPr>
        <w:t xml:space="preserve">An interactive guided walkthrough that teaches how a PE buyer reads financial statements. This is the instructional foundation that precedes the practice exercises. Not a textbook chapter... a practical framework that maps directly to the analysis users will perform on the case study companies.</w:t>
      </w:r>
    </w:p>
    <w:p>
      <w:pPr>
        <w:pBdr>
          <w:bottom w:val="single" w:color="CCCCCC" w:sz="6" w:space="1"/>
        </w:pBdr>
        <w:spacing w:after="200" w:before="200"/>
      </w:pPr>
    </w:p>
    <w:p>
      <w:pPr>
        <w:pStyle w:val="Heading2"/>
        <w:spacing w:after="120" w:before="300"/>
      </w:pPr>
      <w:r>
        <w:rPr>
          <w:rFonts w:ascii="Arial" w:cs="Arial" w:eastAsia="Arial" w:hAnsi="Arial"/>
          <w:b/>
          <w:bCs/>
          <w:sz w:val="30"/>
          <w:szCs w:val="30"/>
        </w:rPr>
        <w:t xml:space="preserve">Section 1: The Three Financial Statements</w:t>
      </w:r>
    </w:p>
    <w:p>
      <w:pPr>
        <w:spacing w:after="120" w:before="0"/>
      </w:pPr>
      <w:r>
        <w:rPr>
          <w:rFonts w:ascii="Arial" w:cs="Arial" w:eastAsia="Arial" w:hAnsi="Arial"/>
          <w:sz w:val="24"/>
          <w:szCs w:val="24"/>
        </w:rPr>
        <w:t xml:space="preserve">The learn module opens by framing why these three documents exist and what each one tells you. The framing should be acquisition-oriented from the start: you’re not reading these as an accountant or an investor in public equities. You’re reading them as someone deciding whether to buy this entire business and run it.</w:t>
      </w:r>
    </w:p>
    <w:p>
      <w:pPr>
        <w:pStyle w:val="Heading3"/>
        <w:spacing w:after="100" w:before="240"/>
      </w:pPr>
      <w:r>
        <w:rPr>
          <w:rFonts w:ascii="Arial" w:cs="Arial" w:eastAsia="Arial" w:hAnsi="Arial"/>
          <w:b/>
          <w:bCs/>
          <w:sz w:val="26"/>
          <w:szCs w:val="26"/>
        </w:rPr>
        <w:t xml:space="preserve">1A: The Income Statement (P&amp;L)</w:t>
      </w:r>
    </w:p>
    <w:p>
      <w:pPr>
        <w:spacing w:after="120" w:before="0"/>
      </w:pPr>
      <w:r>
        <w:rPr>
          <w:rFonts w:ascii="Arial" w:cs="Arial" w:eastAsia="Arial" w:hAnsi="Arial"/>
          <w:b/>
          <w:bCs/>
          <w:sz w:val="24"/>
          <w:szCs w:val="24"/>
        </w:rPr>
        <w:t xml:space="preserve">What it tells you: </w:t>
      </w:r>
      <w:r>
        <w:rPr>
          <w:rFonts w:ascii="Arial" w:cs="Arial" w:eastAsia="Arial" w:hAnsi="Arial"/>
          <w:sz w:val="24"/>
          <w:szCs w:val="24"/>
        </w:rPr>
        <w:t xml:space="preserve">How the business makes money and what it costs to operate over a period of time. Revenue in, costs out, profit (or loss) at the bottom.</w:t>
      </w:r>
    </w:p>
    <w:p>
      <w:pPr>
        <w:spacing w:after="120" w:before="0"/>
      </w:pPr>
      <w:r>
        <w:rPr>
          <w:rFonts w:ascii="Arial" w:cs="Arial" w:eastAsia="Arial" w:hAnsi="Arial"/>
          <w:b/>
          <w:bCs/>
          <w:sz w:val="24"/>
          <w:szCs w:val="24"/>
        </w:rPr>
        <w:t xml:space="preserve">PE buyer’s lens: </w:t>
      </w:r>
      <w:r>
        <w:rPr>
          <w:rFonts w:ascii="Arial" w:cs="Arial" w:eastAsia="Arial" w:hAnsi="Arial"/>
          <w:sz w:val="24"/>
          <w:szCs w:val="24"/>
        </w:rPr>
        <w:t xml:space="preserve">The P&amp;L is your first screen. You’re looking for three things immediately: Is this business growing? Are the margins healthy for the industry? And what does the owner actually take out? In LMM businesses, the P&amp;L is almost never clean... owners run personal expenses through the business, compensation is flexible, and one-time items distort the picture. Your job is to see past the noise to the real earning power.</w:t>
      </w:r>
    </w:p>
    <w:p>
      <w:pPr>
        <w:spacing w:after="120" w:before="0"/>
      </w:pPr>
      <w:r>
        <w:rPr>
          <w:rFonts w:ascii="Arial" w:cs="Arial" w:eastAsia="Arial" w:hAnsi="Arial"/>
          <w:b/>
          <w:bCs/>
          <w:sz w:val="24"/>
          <w:szCs w:val="24"/>
        </w:rPr>
        <w:t xml:space="preserve">Key line items to teach (with PE context):</w:t>
      </w:r>
    </w:p>
    <w:p>
      <w:pPr>
        <w:spacing w:after="120" w:before="0"/>
      </w:pPr>
      <w:r>
        <w:rPr>
          <w:rFonts w:ascii="Arial" w:cs="Arial" w:eastAsia="Arial" w:hAnsi="Arial"/>
          <w:b/>
          <w:bCs/>
          <w:sz w:val="24"/>
          <w:szCs w:val="24"/>
        </w:rPr>
        <w:t xml:space="preserve">Revenue. </w:t>
      </w:r>
      <w:r>
        <w:rPr>
          <w:rFonts w:ascii="Arial" w:cs="Arial" w:eastAsia="Arial" w:hAnsi="Arial"/>
          <w:sz w:val="24"/>
          <w:szCs w:val="24"/>
        </w:rPr>
        <w:t xml:space="preserve">Top line. In LMM, always ask: is this organic growth or acquired growth? How much is recurring vs. project-based? What’s the customer concentration... if one customer is 25%+ of revenue, that’s a risk factor that affects valuation.</w:t>
      </w:r>
    </w:p>
    <w:p>
      <w:pPr>
        <w:spacing w:after="120" w:before="0"/>
      </w:pPr>
      <w:r>
        <w:rPr>
          <w:rFonts w:ascii="Arial" w:cs="Arial" w:eastAsia="Arial" w:hAnsi="Arial"/>
          <w:b/>
          <w:bCs/>
          <w:sz w:val="24"/>
          <w:szCs w:val="24"/>
        </w:rPr>
        <w:t xml:space="preserve">Cost of Goods Sold (COGS). </w:t>
      </w:r>
      <w:r>
        <w:rPr>
          <w:rFonts w:ascii="Arial" w:cs="Arial" w:eastAsia="Arial" w:hAnsi="Arial"/>
          <w:sz w:val="24"/>
          <w:szCs w:val="24"/>
        </w:rPr>
        <w:t xml:space="preserve">Direct costs of delivering the product or service. For services businesses (HVAC, dental, logistics), this is primarily labor and materials. For distribution, it’s product cost and freight. Gross margin (Revenue minus COGS / Revenue) tells you how much room the business has to absorb overhead and still make money.</w:t>
      </w:r>
    </w:p>
    <w:p>
      <w:pPr>
        <w:spacing w:after="120" w:before="0"/>
      </w:pPr>
      <w:r>
        <w:rPr>
          <w:rFonts w:ascii="Arial" w:cs="Arial" w:eastAsia="Arial" w:hAnsi="Arial"/>
          <w:b/>
          <w:bCs/>
          <w:sz w:val="24"/>
          <w:szCs w:val="24"/>
        </w:rPr>
        <w:t xml:space="preserve">SGA (Selling, General &amp; Administrative). </w:t>
      </w:r>
      <w:r>
        <w:rPr>
          <w:rFonts w:ascii="Arial" w:cs="Arial" w:eastAsia="Arial" w:hAnsi="Arial"/>
          <w:sz w:val="24"/>
          <w:szCs w:val="24"/>
        </w:rPr>
        <w:t xml:space="preserve">The overhead. Office staff, sales team, rent, insurance, IT, legal, accounting. In LMM businesses, this is where you find the operational processes that drive the business... and where AI deployment opportunities hide. SGA as a percentage of revenue is a key efficiency indicator.</w:t>
      </w:r>
    </w:p>
    <w:p>
      <w:pPr>
        <w:spacing w:after="120" w:before="0"/>
      </w:pPr>
      <w:r>
        <w:rPr>
          <w:rFonts w:ascii="Arial" w:cs="Arial" w:eastAsia="Arial" w:hAnsi="Arial"/>
          <w:b/>
          <w:bCs/>
          <w:sz w:val="24"/>
          <w:szCs w:val="24"/>
        </w:rPr>
        <w:t xml:space="preserve">Owner Compensation. </w:t>
      </w:r>
      <w:r>
        <w:rPr>
          <w:rFonts w:ascii="Arial" w:cs="Arial" w:eastAsia="Arial" w:hAnsi="Arial"/>
          <w:sz w:val="24"/>
          <w:szCs w:val="24"/>
        </w:rPr>
        <w:t xml:space="preserve">This is the single most important line item in LMM deal analysis. Private business owners set their own pay. A $30M revenue company might have an owner taking $2M+ in salary, perks, personal vehicles, family members on payroll, country club dues, and personal travel run through the business. Normalizing owner comp to market rate (what you’d pay a hired GM) is the biggest adjustment in most LMM deals and can swing adjusted EBITDA by 20-40%.</w:t>
      </w:r>
    </w:p>
    <w:p>
      <w:pPr>
        <w:spacing w:after="120" w:before="0"/>
      </w:pPr>
      <w:r>
        <w:rPr>
          <w:rFonts w:ascii="Arial" w:cs="Arial" w:eastAsia="Arial" w:hAnsi="Arial"/>
          <w:b/>
          <w:bCs/>
          <w:sz w:val="24"/>
          <w:szCs w:val="24"/>
        </w:rPr>
        <w:t xml:space="preserve">Depreciation &amp; Amortization. </w:t>
      </w:r>
      <w:r>
        <w:rPr>
          <w:rFonts w:ascii="Arial" w:cs="Arial" w:eastAsia="Arial" w:hAnsi="Arial"/>
          <w:sz w:val="24"/>
          <w:szCs w:val="24"/>
        </w:rPr>
        <w:t xml:space="preserve">Non-cash charges that reduce reported earnings but don’t affect actual cash flow. They get added back to calculate EBITDA. For capital-intensive businesses (manufacturing, logistics), D&amp;A is significant and tells you about the age and condition of the asset base.</w:t>
      </w:r>
    </w:p>
    <w:p>
      <w:pPr>
        <w:spacing w:after="120" w:before="0"/>
      </w:pPr>
      <w:r>
        <w:rPr>
          <w:rFonts w:ascii="Arial" w:cs="Arial" w:eastAsia="Arial" w:hAnsi="Arial"/>
          <w:b/>
          <w:bCs/>
          <w:sz w:val="24"/>
          <w:szCs w:val="24"/>
        </w:rPr>
        <w:t xml:space="preserve">Net Income. </w:t>
      </w:r>
      <w:r>
        <w:rPr>
          <w:rFonts w:ascii="Arial" w:cs="Arial" w:eastAsia="Arial" w:hAnsi="Arial"/>
          <w:sz w:val="24"/>
          <w:szCs w:val="24"/>
        </w:rPr>
        <w:t xml:space="preserve">Bottom line. Important but almost never the number a PE buyer uses for valuation. You buy on EBITDA (or more precisely, adjusted EBITDA), not net income.</w:t>
      </w:r>
    </w:p>
    <w:p>
      <w:pPr>
        <w:pStyle w:val="Heading3"/>
        <w:spacing w:after="100" w:before="240"/>
      </w:pPr>
      <w:r>
        <w:rPr>
          <w:rFonts w:ascii="Arial" w:cs="Arial" w:eastAsia="Arial" w:hAnsi="Arial"/>
          <w:b/>
          <w:bCs/>
          <w:sz w:val="26"/>
          <w:szCs w:val="26"/>
        </w:rPr>
        <w:t xml:space="preserve">1B: The Balance Sheet</w:t>
      </w:r>
    </w:p>
    <w:p>
      <w:pPr>
        <w:spacing w:after="120" w:before="0"/>
      </w:pPr>
      <w:r>
        <w:rPr>
          <w:rFonts w:ascii="Arial" w:cs="Arial" w:eastAsia="Arial" w:hAnsi="Arial"/>
          <w:b/>
          <w:bCs/>
          <w:sz w:val="24"/>
          <w:szCs w:val="24"/>
        </w:rPr>
        <w:t xml:space="preserve">What it tells you: </w:t>
      </w:r>
      <w:r>
        <w:rPr>
          <w:rFonts w:ascii="Arial" w:cs="Arial" w:eastAsia="Arial" w:hAnsi="Arial"/>
          <w:sz w:val="24"/>
          <w:szCs w:val="24"/>
        </w:rPr>
        <w:t xml:space="preserve">What the business owns (assets) and what it owes (liabilities) at a single point in time. The difference is equity... the owner’s residual claim on the business.</w:t>
      </w:r>
    </w:p>
    <w:p>
      <w:pPr>
        <w:spacing w:after="120" w:before="0"/>
      </w:pPr>
      <w:r>
        <w:rPr>
          <w:rFonts w:ascii="Arial" w:cs="Arial" w:eastAsia="Arial" w:hAnsi="Arial"/>
          <w:b/>
          <w:bCs/>
          <w:sz w:val="24"/>
          <w:szCs w:val="24"/>
        </w:rPr>
        <w:t xml:space="preserve">PE buyer’s lens: </w:t>
      </w:r>
      <w:r>
        <w:rPr>
          <w:rFonts w:ascii="Arial" w:cs="Arial" w:eastAsia="Arial" w:hAnsi="Arial"/>
          <w:sz w:val="24"/>
          <w:szCs w:val="24"/>
        </w:rPr>
        <w:t xml:space="preserve">The balance sheet tells you two critical things. First, what’s the working capital situation... does this business need a lot of cash tied up in receivables and inventory to operate, or is it capital-light? Second, what’s the debt load, and how much room is there to add leverage? PE deals are financed with debt, so the balance sheet determines how much financing the deal can support.</w:t>
      </w:r>
    </w:p>
    <w:p>
      <w:pPr>
        <w:spacing w:after="120" w:before="0"/>
      </w:pPr>
      <w:r>
        <w:rPr>
          <w:rFonts w:ascii="Arial" w:cs="Arial" w:eastAsia="Arial" w:hAnsi="Arial"/>
          <w:b/>
          <w:bCs/>
          <w:sz w:val="24"/>
          <w:szCs w:val="24"/>
        </w:rPr>
        <w:t xml:space="preserve">Key line items to teach:</w:t>
      </w:r>
    </w:p>
    <w:p>
      <w:pPr>
        <w:spacing w:after="120" w:before="0"/>
      </w:pPr>
      <w:r>
        <w:rPr>
          <w:rFonts w:ascii="Arial" w:cs="Arial" w:eastAsia="Arial" w:hAnsi="Arial"/>
          <w:b/>
          <w:bCs/>
          <w:sz w:val="24"/>
          <w:szCs w:val="24"/>
        </w:rPr>
        <w:t xml:space="preserve">Cash. </w:t>
      </w:r>
      <w:r>
        <w:rPr>
          <w:rFonts w:ascii="Arial" w:cs="Arial" w:eastAsia="Arial" w:hAnsi="Arial"/>
          <w:sz w:val="24"/>
          <w:szCs w:val="24"/>
        </w:rPr>
        <w:t xml:space="preserve">How much liquidity does the business have? A $48M revenue business with only $400K in cash is running tight. This matters for working capital needs and can signal that the business struggles to generate or retain cash.</w:t>
      </w:r>
    </w:p>
    <w:p>
      <w:pPr>
        <w:spacing w:after="120" w:before="0"/>
      </w:pPr>
      <w:r>
        <w:rPr>
          <w:rFonts w:ascii="Arial" w:cs="Arial" w:eastAsia="Arial" w:hAnsi="Arial"/>
          <w:b/>
          <w:bCs/>
          <w:sz w:val="24"/>
          <w:szCs w:val="24"/>
        </w:rPr>
        <w:t xml:space="preserve">Accounts Receivable (AR). </w:t>
      </w:r>
      <w:r>
        <w:rPr>
          <w:rFonts w:ascii="Arial" w:cs="Arial" w:eastAsia="Arial" w:hAnsi="Arial"/>
          <w:sz w:val="24"/>
          <w:szCs w:val="24"/>
        </w:rPr>
        <w:t xml:space="preserve">Money customers owe. The bigger this is relative to revenue, the longer it takes to collect. Days Sales Outstanding (DSO) = (AR / Revenue) x 365. High DSO means slow-paying customers or lax collection practices. In LMM, it also often means the owner isn’t chasing invoices aggressively.</w:t>
      </w:r>
    </w:p>
    <w:p>
      <w:pPr>
        <w:spacing w:after="120" w:before="0"/>
      </w:pPr>
      <w:r>
        <w:rPr>
          <w:rFonts w:ascii="Arial" w:cs="Arial" w:eastAsia="Arial" w:hAnsi="Arial"/>
          <w:b/>
          <w:bCs/>
          <w:sz w:val="24"/>
          <w:szCs w:val="24"/>
        </w:rPr>
        <w:t xml:space="preserve">Inventory. </w:t>
      </w:r>
      <w:r>
        <w:rPr>
          <w:rFonts w:ascii="Arial" w:cs="Arial" w:eastAsia="Arial" w:hAnsi="Arial"/>
          <w:sz w:val="24"/>
          <w:szCs w:val="24"/>
        </w:rPr>
        <w:t xml:space="preserve">Relevant for distribution and manufacturing. Inventory Turns = COGS / Inventory. Low turns mean capital is tied up in product sitting on shelves. Days Inventory Outstanding (DIO) = (Inventory / COGS) x 365.</w:t>
      </w:r>
    </w:p>
    <w:p>
      <w:pPr>
        <w:spacing w:after="120" w:before="0"/>
      </w:pPr>
      <w:r>
        <w:rPr>
          <w:rFonts w:ascii="Arial" w:cs="Arial" w:eastAsia="Arial" w:hAnsi="Arial"/>
          <w:b/>
          <w:bCs/>
          <w:sz w:val="24"/>
          <w:szCs w:val="24"/>
        </w:rPr>
        <w:t xml:space="preserve">PP&amp;E (Property, Plant &amp; Equipment). </w:t>
      </w:r>
      <w:r>
        <w:rPr>
          <w:rFonts w:ascii="Arial" w:cs="Arial" w:eastAsia="Arial" w:hAnsi="Arial"/>
          <w:sz w:val="24"/>
          <w:szCs w:val="24"/>
        </w:rPr>
        <w:t xml:space="preserve">Physical assets. High PP&amp;E relative to revenue signals a capital-intensive business that requires ongoing investment (CapEx) to maintain. Compare annual CapEx to D&amp;A: if CapEx consistently exceeds D&amp;A, the business is investing in growth. If CapEx is less than D&amp;A, they may be under-investing (deferred maintenance risk).</w:t>
      </w:r>
    </w:p>
    <w:p>
      <w:pPr>
        <w:spacing w:after="120" w:before="0"/>
      </w:pPr>
      <w:r>
        <w:rPr>
          <w:rFonts w:ascii="Arial" w:cs="Arial" w:eastAsia="Arial" w:hAnsi="Arial"/>
          <w:b/>
          <w:bCs/>
          <w:sz w:val="24"/>
          <w:szCs w:val="24"/>
        </w:rPr>
        <w:t xml:space="preserve">Goodwill. </w:t>
      </w:r>
      <w:r>
        <w:rPr>
          <w:rFonts w:ascii="Arial" w:cs="Arial" w:eastAsia="Arial" w:hAnsi="Arial"/>
          <w:sz w:val="24"/>
          <w:szCs w:val="24"/>
        </w:rPr>
        <w:t xml:space="preserve">Only appears if the company has made acquisitions. Represents the premium paid above the fair value of acquired assets. In roll-up models (dental, home services), goodwill can be large. It tells you how acquisition-heavy the growth strategy has been.</w:t>
      </w:r>
    </w:p>
    <w:p>
      <w:pPr>
        <w:spacing w:after="120" w:before="0"/>
      </w:pPr>
      <w:r>
        <w:rPr>
          <w:rFonts w:ascii="Arial" w:cs="Arial" w:eastAsia="Arial" w:hAnsi="Arial"/>
          <w:b/>
          <w:bCs/>
          <w:sz w:val="24"/>
          <w:szCs w:val="24"/>
        </w:rPr>
        <w:t xml:space="preserve">Accounts Payable (AP). </w:t>
      </w:r>
      <w:r>
        <w:rPr>
          <w:rFonts w:ascii="Arial" w:cs="Arial" w:eastAsia="Arial" w:hAnsi="Arial"/>
          <w:sz w:val="24"/>
          <w:szCs w:val="24"/>
        </w:rPr>
        <w:t xml:space="preserve">Money the business owes suppliers. Days Payable Outstanding (DPO) = (AP / COGS) x 365. Higher DPO means the business is effectively borrowing from suppliers... which is free financing and a sign of some leverage in supplier relationships.</w:t>
      </w:r>
    </w:p>
    <w:p>
      <w:pPr>
        <w:spacing w:after="120" w:before="0"/>
      </w:pPr>
      <w:r>
        <w:rPr>
          <w:rFonts w:ascii="Arial" w:cs="Arial" w:eastAsia="Arial" w:hAnsi="Arial"/>
          <w:b/>
          <w:bCs/>
          <w:sz w:val="24"/>
          <w:szCs w:val="24"/>
        </w:rPr>
        <w:t xml:space="preserve">Total Debt (Current + Long-Term). </w:t>
      </w:r>
      <w:r>
        <w:rPr>
          <w:rFonts w:ascii="Arial" w:cs="Arial" w:eastAsia="Arial" w:hAnsi="Arial"/>
          <w:sz w:val="24"/>
          <w:szCs w:val="24"/>
        </w:rPr>
        <w:t xml:space="preserve">Existing leverage. Net debt = total debt minus cash. This directly affects equity value: Enterprise Value minus Net Debt = Equity Value. A buyer paying 6x EBITDA for a $5M EBITDA business is paying $30M EV, but if there’s $8M in net debt, the equity check is $22M.</w:t>
      </w:r>
    </w:p>
    <w:p>
      <w:pPr>
        <w:pStyle w:val="Heading3"/>
        <w:spacing w:after="100" w:before="240"/>
      </w:pPr>
      <w:r>
        <w:rPr>
          <w:rFonts w:ascii="Arial" w:cs="Arial" w:eastAsia="Arial" w:hAnsi="Arial"/>
          <w:b/>
          <w:bCs/>
          <w:sz w:val="26"/>
          <w:szCs w:val="26"/>
        </w:rPr>
        <w:t xml:space="preserve">1C: The Cash Flow Statement</w:t>
      </w:r>
    </w:p>
    <w:p>
      <w:pPr>
        <w:spacing w:after="120" w:before="0"/>
      </w:pPr>
      <w:r>
        <w:rPr>
          <w:rFonts w:ascii="Arial" w:cs="Arial" w:eastAsia="Arial" w:hAnsi="Arial"/>
          <w:b/>
          <w:bCs/>
          <w:sz w:val="24"/>
          <w:szCs w:val="24"/>
        </w:rPr>
        <w:t xml:space="preserve">What it tells you: </w:t>
      </w:r>
      <w:r>
        <w:rPr>
          <w:rFonts w:ascii="Arial" w:cs="Arial" w:eastAsia="Arial" w:hAnsi="Arial"/>
          <w:sz w:val="24"/>
          <w:szCs w:val="24"/>
        </w:rPr>
        <w:t xml:space="preserve">Where cash actually came from and where it went during the period. The P&amp;L can be manipulated through accounting choices. Cash flow is harder to fake.</w:t>
      </w:r>
    </w:p>
    <w:p>
      <w:pPr>
        <w:spacing w:after="120" w:before="0"/>
      </w:pPr>
      <w:r>
        <w:rPr>
          <w:rFonts w:ascii="Arial" w:cs="Arial" w:eastAsia="Arial" w:hAnsi="Arial"/>
          <w:b/>
          <w:bCs/>
          <w:sz w:val="24"/>
          <w:szCs w:val="24"/>
        </w:rPr>
        <w:t xml:space="preserve">PE buyer’s lens: </w:t>
      </w:r>
      <w:r>
        <w:rPr>
          <w:rFonts w:ascii="Arial" w:cs="Arial" w:eastAsia="Arial" w:hAnsi="Arial"/>
          <w:sz w:val="24"/>
          <w:szCs w:val="24"/>
        </w:rPr>
        <w:t xml:space="preserve">Cash flow is the ultimate truth-teller. A business can report positive net income while burning cash (if working capital is growing, CapEx is high, or debt payments are eating the profits). In PE, you’re buying a cash flow stream. If EBITDA doesn’t convert to actual free cash flow, the multiple you’re paying is overstated.</w:t>
      </w:r>
    </w:p>
    <w:p>
      <w:pPr>
        <w:spacing w:after="120" w:before="0"/>
      </w:pPr>
      <w:r>
        <w:rPr>
          <w:rFonts w:ascii="Arial" w:cs="Arial" w:eastAsia="Arial" w:hAnsi="Arial"/>
          <w:b/>
          <w:bCs/>
          <w:sz w:val="24"/>
          <w:szCs w:val="24"/>
        </w:rPr>
        <w:t xml:space="preserve">Key sections to teach:</w:t>
      </w:r>
    </w:p>
    <w:p>
      <w:pPr>
        <w:spacing w:after="120" w:before="0"/>
      </w:pPr>
      <w:r>
        <w:rPr>
          <w:rFonts w:ascii="Arial" w:cs="Arial" w:eastAsia="Arial" w:hAnsi="Arial"/>
          <w:b/>
          <w:bCs/>
          <w:sz w:val="24"/>
          <w:szCs w:val="24"/>
        </w:rPr>
        <w:t xml:space="preserve">Cash from Operations. </w:t>
      </w:r>
      <w:r>
        <w:rPr>
          <w:rFonts w:ascii="Arial" w:cs="Arial" w:eastAsia="Arial" w:hAnsi="Arial"/>
          <w:sz w:val="24"/>
          <w:szCs w:val="24"/>
        </w:rPr>
        <w:t xml:space="preserve">Starts with net income, adds back non-cash charges (D&amp;A), and adjusts for working capital changes. This is the cash the business generates from actually operating. If net income is $2M but cash from operations is $500K, working capital is eating your cash.</w:t>
      </w:r>
    </w:p>
    <w:p>
      <w:pPr>
        <w:spacing w:after="120" w:before="0"/>
      </w:pPr>
      <w:r>
        <w:rPr>
          <w:rFonts w:ascii="Arial" w:cs="Arial" w:eastAsia="Arial" w:hAnsi="Arial"/>
          <w:b/>
          <w:bCs/>
          <w:sz w:val="24"/>
          <w:szCs w:val="24"/>
        </w:rPr>
        <w:t xml:space="preserve">Working Capital Changes. </w:t>
      </w:r>
      <w:r>
        <w:rPr>
          <w:rFonts w:ascii="Arial" w:cs="Arial" w:eastAsia="Arial" w:hAnsi="Arial"/>
          <w:sz w:val="24"/>
          <w:szCs w:val="24"/>
        </w:rPr>
        <w:t xml:space="preserve">Increases in AR and inventory consume cash (you’re financing customers and inventory). Increases in AP generate cash (suppliers are financing you). Net working capital change tells you whether the business’s growth is self-funding or requires additional capital.</w:t>
      </w:r>
    </w:p>
    <w:p>
      <w:pPr>
        <w:spacing w:after="120" w:before="0"/>
      </w:pPr>
      <w:r>
        <w:rPr>
          <w:rFonts w:ascii="Arial" w:cs="Arial" w:eastAsia="Arial" w:hAnsi="Arial"/>
          <w:b/>
          <w:bCs/>
          <w:sz w:val="24"/>
          <w:szCs w:val="24"/>
        </w:rPr>
        <w:t xml:space="preserve">CapEx (Capital Expenditures). </w:t>
      </w:r>
      <w:r>
        <w:rPr>
          <w:rFonts w:ascii="Arial" w:cs="Arial" w:eastAsia="Arial" w:hAnsi="Arial"/>
          <w:sz w:val="24"/>
          <w:szCs w:val="24"/>
        </w:rPr>
        <w:t xml:space="preserve">Cash spent on maintaining or growing the asset base. Split into maintenance CapEx (keeping things running) and growth CapEx (expanding capacity). Maintenance CapEx is a real cost that must be subtracted from EBITDA to get true free cash flow. If a manufacturing business reports $4M EBITDA but spends $2M on maintenance CapEx annually, the real earning power is $2M.</w:t>
      </w:r>
    </w:p>
    <w:p>
      <w:pPr>
        <w:spacing w:after="120" w:before="0"/>
      </w:pPr>
      <w:r>
        <w:rPr>
          <w:rFonts w:ascii="Arial" w:cs="Arial" w:eastAsia="Arial" w:hAnsi="Arial"/>
          <w:b/>
          <w:bCs/>
          <w:sz w:val="24"/>
          <w:szCs w:val="24"/>
        </w:rPr>
        <w:t xml:space="preserve">Free Cash Flow (FCF). </w:t>
      </w:r>
      <w:r>
        <w:rPr>
          <w:rFonts w:ascii="Arial" w:cs="Arial" w:eastAsia="Arial" w:hAnsi="Arial"/>
          <w:sz w:val="24"/>
          <w:szCs w:val="24"/>
        </w:rPr>
        <w:t xml:space="preserve">Cash from Operations minus CapEx. This is the cash available to pay down debt, make distributions, or reinvest. FCF Conversion = FCF / EBITDA. Healthy businesses convert 60-80% of EBITDA to FCF. Below 50% warrants investigation... where is the cash going?</w:t>
      </w:r>
    </w:p>
    <w:p>
      <w:pPr>
        <w:spacing w:after="120" w:before="0"/>
      </w:pPr>
      <w:r>
        <w:rPr>
          <w:rFonts w:ascii="Arial" w:cs="Arial" w:eastAsia="Arial" w:hAnsi="Arial"/>
          <w:b/>
          <w:bCs/>
          <w:sz w:val="24"/>
          <w:szCs w:val="24"/>
        </w:rPr>
        <w:t xml:space="preserve">Debt Payments &amp; Distributions. </w:t>
      </w:r>
      <w:r>
        <w:rPr>
          <w:rFonts w:ascii="Arial" w:cs="Arial" w:eastAsia="Arial" w:hAnsi="Arial"/>
          <w:sz w:val="24"/>
          <w:szCs w:val="24"/>
        </w:rPr>
        <w:t xml:space="preserve">Cash used to service debt and pay the owner. In LMM businesses, owners often take large distributions. If net income is $1M but distributions are $1.2M, the owner is decapitalizing the business.</w:t>
      </w:r>
    </w:p>
    <w:p>
      <w:pPr>
        <w:pBdr>
          <w:bottom w:val="single" w:color="CCCCCC" w:sz="6" w:space="1"/>
        </w:pBdr>
        <w:spacing w:after="200" w:before="200"/>
      </w:pPr>
    </w:p>
    <w:p>
      <w:r>
        <w:br w:type="page"/>
      </w:r>
    </w:p>
    <w:p>
      <w:pPr>
        <w:pStyle w:val="Heading2"/>
        <w:spacing w:after="120" w:before="300"/>
      </w:pPr>
      <w:r>
        <w:rPr>
          <w:rFonts w:ascii="Arial" w:cs="Arial" w:eastAsia="Arial" w:hAnsi="Arial"/>
          <w:b/>
          <w:bCs/>
          <w:sz w:val="30"/>
          <w:szCs w:val="30"/>
        </w:rPr>
        <w:t xml:space="preserve">Section 2: First-Pass Screening Metrics</w:t>
      </w:r>
    </w:p>
    <w:p>
      <w:pPr>
        <w:spacing w:after="120" w:before="0"/>
      </w:pPr>
      <w:r>
        <w:rPr>
          <w:rFonts w:ascii="Arial" w:cs="Arial" w:eastAsia="Arial" w:hAnsi="Arial"/>
          <w:i/>
          <w:iCs/>
          <w:sz w:val="24"/>
          <w:szCs w:val="24"/>
        </w:rPr>
        <w:t xml:space="preserve">These are the metrics you calculate in the first 15 minutes of looking at a deal. They tell you whether it’s worth spending more time. A PE buyer reviewing a CIM (Confidential Information Memorandum) hits these numbers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4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What It Tells You</w:t>
            </w:r>
          </w:p>
        </w:tc>
        <w:tc>
          <w:tcPr>
            <w:tcW w:type="dxa" w:w="23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LMM Benchmarks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Revenue Growth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(Current - Prior) / Prior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Is the business growing? Organic vs. acquired?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5-15% organic is healthy. &gt;20% investigate if sustainable.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Gross Margin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Gross Profit / Revenue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Pricing power and cost structure. Higher = better.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Services: 40-60%. Distribution: 15-25%. Manufacturing: 25-45%.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EBITDA Margin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EBITDA / Revenue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Operating profitability before capital structure effects.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10-20% is typical LMM. &gt;25% is elite. &lt;10% question viability.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Adjusted EBITDA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EBITDA + add-backs (owner comp, one-time, etc.)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True earning power. THE valuation metric.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LMM add-backs typically increase EBITDA 15-40% over reported.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Revenue per Employee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Revenue / Employee Count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Labor efficiency. Varies wildly by industry.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Services: $150-250K. Distribution: $400-700K. Manufacturing: $200-350K.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Customer Concentration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Largest customer as % of revenue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 risk factor. &gt;25% is a red flag for most buyers.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&lt;10% ideal. 10-20% manageable. &gt;25% discount or structural protection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Recurring Revenue %</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Contracted/repeat revenue / total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Predictability of cash flows. Higher = higher multiple.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&gt;70% commands premium. 40-70% is solid. &lt;30% is project-based risk.</w:t>
            </w:r>
          </w:p>
        </w:tc>
      </w:tr>
    </w:tbl>
    <w:p>
      <w:pPr>
        <w:spacing w:after="120" w:before="0"/>
      </w:pPr>
      <w:r>
        <w:rPr>
          <w:rFonts w:ascii="Arial" w:cs="Arial" w:eastAsia="Arial" w:hAnsi="Arial"/>
          <w:sz w:val="24"/>
          <w:szCs w:val="24"/>
        </w:rPr>
        <w:t xml:space="preserve"/>
      </w:r>
    </w:p>
    <w:p>
      <w:pPr>
        <w:spacing w:after="120" w:before="0"/>
      </w:pPr>
      <w:r>
        <w:rPr>
          <w:rFonts w:ascii="Arial" w:cs="Arial" w:eastAsia="Arial" w:hAnsi="Arial"/>
          <w:b/>
          <w:bCs/>
          <w:sz w:val="24"/>
          <w:szCs w:val="24"/>
        </w:rPr>
        <w:t xml:space="preserve">The First-Pass Decision: </w:t>
      </w:r>
      <w:r>
        <w:rPr>
          <w:rFonts w:ascii="Arial" w:cs="Arial" w:eastAsia="Arial" w:hAnsi="Arial"/>
          <w:sz w:val="24"/>
          <w:szCs w:val="24"/>
        </w:rPr>
        <w:t xml:space="preserve">After these seven metrics, you should know: (1) Is this business growing and profitable enough to be interesting? (2) Are there any immediate deal-breakers (customer concentration, margin compression, declining revenue)? (3) What’s the likely valuation range (adjusted EBITDA x industry-appropriate multiple)? If it passes this screen, you dig deeper.</w:t>
      </w:r>
    </w:p>
    <w:p>
      <w:pPr>
        <w:pBdr>
          <w:bottom w:val="single" w:color="CCCCCC" w:sz="6" w:space="1"/>
        </w:pBdr>
        <w:spacing w:after="200" w:before="200"/>
      </w:pPr>
    </w:p>
    <w:p>
      <w:r>
        <w:br w:type="page"/>
      </w:r>
    </w:p>
    <w:p>
      <w:pPr>
        <w:pStyle w:val="Heading2"/>
        <w:spacing w:after="120" w:before="300"/>
      </w:pPr>
      <w:r>
        <w:rPr>
          <w:rFonts w:ascii="Arial" w:cs="Arial" w:eastAsia="Arial" w:hAnsi="Arial"/>
          <w:b/>
          <w:bCs/>
          <w:sz w:val="30"/>
          <w:szCs w:val="30"/>
        </w:rPr>
        <w:t xml:space="preserve">Section 3: Due Diligence Deep-Dive Metrics</w:t>
      </w:r>
    </w:p>
    <w:p>
      <w:pPr>
        <w:spacing w:after="120" w:before="0"/>
      </w:pPr>
      <w:r>
        <w:rPr>
          <w:rFonts w:ascii="Arial" w:cs="Arial" w:eastAsia="Arial" w:hAnsi="Arial"/>
          <w:i/>
          <w:iCs/>
          <w:sz w:val="24"/>
          <w:szCs w:val="24"/>
        </w:rPr>
        <w:t xml:space="preserve">These are the metrics you examine once a deal passes the first screen. They help you stress-test the thesis, identify hidden risks, and build the operating plan. This is the Quality of Earnings (QoE) lens.</w:t>
      </w:r>
    </w:p>
    <w:p>
      <w:pPr>
        <w:pStyle w:val="Heading3"/>
        <w:spacing w:after="100" w:before="240"/>
      </w:pPr>
      <w:r>
        <w:rPr>
          <w:rFonts w:ascii="Arial" w:cs="Arial" w:eastAsia="Arial" w:hAnsi="Arial"/>
          <w:b/>
          <w:bCs/>
          <w:sz w:val="26"/>
          <w:szCs w:val="26"/>
        </w:rPr>
        <w:t xml:space="preserve">3A: Revenue Quality</w:t>
      </w:r>
    </w:p>
    <w:p>
      <w:pPr>
        <w:spacing w:after="120" w:before="0"/>
      </w:pPr>
      <w:r>
        <w:rPr>
          <w:rFonts w:ascii="Arial" w:cs="Arial" w:eastAsia="Arial" w:hAnsi="Arial"/>
          <w:b/>
          <w:bCs/>
          <w:sz w:val="24"/>
          <w:szCs w:val="24"/>
        </w:rPr>
        <w:t xml:space="preserve">Organic vs. Inorganic Growth. </w:t>
      </w:r>
      <w:r>
        <w:rPr>
          <w:rFonts w:ascii="Arial" w:cs="Arial" w:eastAsia="Arial" w:hAnsi="Arial"/>
          <w:sz w:val="24"/>
          <w:szCs w:val="24"/>
        </w:rPr>
        <w:t xml:space="preserve">For companies that have made acquisitions, separate same-store growth from acquired growth. A dental roll-up showing 32% revenue growth that’s actually 12% organic and 20% from buying practices is a very different thesis than 32% organic growth. In DD, request same-store revenue by location or business line, with a waterfall showing what each acquisition contributed and when.</w:t>
      </w:r>
    </w:p>
    <w:p>
      <w:pPr>
        <w:spacing w:after="120" w:before="0"/>
      </w:pPr>
      <w:r>
        <w:rPr>
          <w:rFonts w:ascii="Arial" w:cs="Arial" w:eastAsia="Arial" w:hAnsi="Arial"/>
          <w:b/>
          <w:bCs/>
          <w:sz w:val="24"/>
          <w:szCs w:val="24"/>
        </w:rPr>
        <w:t xml:space="preserve">Cohort Analysis. </w:t>
      </w:r>
      <w:r>
        <w:rPr>
          <w:rFonts w:ascii="Arial" w:cs="Arial" w:eastAsia="Arial" w:hAnsi="Arial"/>
          <w:sz w:val="24"/>
          <w:szCs w:val="24"/>
        </w:rPr>
        <w:t xml:space="preserve">Are existing customers spending more over time (net revenue retention &gt; 100%) or churning? A services business with 90% gross retention but 110% net retention means existing customers are expanding... very positive signal.</w:t>
      </w:r>
    </w:p>
    <w:p>
      <w:pPr>
        <w:spacing w:after="120" w:before="0"/>
      </w:pPr>
      <w:r>
        <w:rPr>
          <w:rFonts w:ascii="Arial" w:cs="Arial" w:eastAsia="Arial" w:hAnsi="Arial"/>
          <w:b/>
          <w:bCs/>
          <w:sz w:val="24"/>
          <w:szCs w:val="24"/>
        </w:rPr>
        <w:t xml:space="preserve">Pricing Power. </w:t>
      </w:r>
      <w:r>
        <w:rPr>
          <w:rFonts w:ascii="Arial" w:cs="Arial" w:eastAsia="Arial" w:hAnsi="Arial"/>
          <w:sz w:val="24"/>
          <w:szCs w:val="24"/>
        </w:rPr>
        <w:t xml:space="preserve">Has the company raised prices, and did customers stay? If gross margin is flat despite revenue growth, prices aren’t keeping up with costs. This is a structural issue vs. a fixable one.</w:t>
      </w:r>
    </w:p>
    <w:p>
      <w:pPr>
        <w:spacing w:after="120" w:before="0"/>
      </w:pPr>
      <w:r>
        <w:rPr>
          <w:rFonts w:ascii="Arial" w:cs="Arial" w:eastAsia="Arial" w:hAnsi="Arial"/>
          <w:b/>
          <w:bCs/>
          <w:sz w:val="24"/>
          <w:szCs w:val="24"/>
        </w:rPr>
        <w:t xml:space="preserve">Contract Terms. </w:t>
      </w:r>
      <w:r>
        <w:rPr>
          <w:rFonts w:ascii="Arial" w:cs="Arial" w:eastAsia="Arial" w:hAnsi="Arial"/>
          <w:sz w:val="24"/>
          <w:szCs w:val="24"/>
        </w:rPr>
        <w:t xml:space="preserve">Month-to-month vs. annual vs. multi-year. Cancellation terms. Auto-renewal provisions. A business with $10M in "recurring" revenue on month-to-month terms is less stable than $6M on 3-year contracts.</w:t>
      </w:r>
    </w:p>
    <w:p>
      <w:pPr>
        <w:pStyle w:val="Heading3"/>
        <w:spacing w:after="100" w:before="240"/>
      </w:pPr>
      <w:r>
        <w:rPr>
          <w:rFonts w:ascii="Arial" w:cs="Arial" w:eastAsia="Arial" w:hAnsi="Arial"/>
          <w:b/>
          <w:bCs/>
          <w:sz w:val="26"/>
          <w:szCs w:val="26"/>
        </w:rPr>
        <w:t xml:space="preserve">3B: EBITDA Quality (The Add-Back Deep Dive)</w:t>
      </w:r>
    </w:p>
    <w:p>
      <w:pPr>
        <w:spacing w:after="120" w:before="0"/>
      </w:pPr>
      <w:r>
        <w:rPr>
          <w:rFonts w:ascii="Arial" w:cs="Arial" w:eastAsia="Arial" w:hAnsi="Arial"/>
          <w:b/>
          <w:bCs/>
          <w:sz w:val="24"/>
          <w:szCs w:val="24"/>
        </w:rPr>
        <w:t xml:space="preserve">Owner Compensation Normalization. </w:t>
      </w:r>
      <w:r>
        <w:rPr>
          <w:rFonts w:ascii="Arial" w:cs="Arial" w:eastAsia="Arial" w:hAnsi="Arial"/>
          <w:sz w:val="24"/>
          <w:szCs w:val="24"/>
        </w:rPr>
        <w:t xml:space="preserve">The biggest single adjustment in most LMM deals. Process: identify total owner comp (W-2 salary + bonuses + perks + benefits + personal expenses + family members on payroll). Then determine market rate for a hired replacement (GM or CEO, typically $150-300K for LMM). The delta is an add-back. Example: owner takes $2.4M total; market replacement is $250K; add-back is $2.15M. That’s $2.15M flowing straight to adjusted EBITDA.</w:t>
      </w:r>
    </w:p>
    <w:p>
      <w:pPr>
        <w:spacing w:after="120" w:before="0"/>
      </w:pPr>
      <w:r>
        <w:rPr>
          <w:rFonts w:ascii="Arial" w:cs="Arial" w:eastAsia="Arial" w:hAnsi="Arial"/>
          <w:b/>
          <w:bCs/>
          <w:sz w:val="24"/>
          <w:szCs w:val="24"/>
        </w:rPr>
        <w:t xml:space="preserve">One-Time vs. Recurring. </w:t>
      </w:r>
      <w:r>
        <w:rPr>
          <w:rFonts w:ascii="Arial" w:cs="Arial" w:eastAsia="Arial" w:hAnsi="Arial"/>
          <w:sz w:val="24"/>
          <w:szCs w:val="24"/>
        </w:rPr>
        <w:t xml:space="preserve">The critical question: will this expense happen again? Legitimate one-time items include lawsuit settlements, natural disaster repairs, one-off consulting projects. Illegitimate add-backs: acquisition costs at a company whose strategy is acquisitions (those costs are recurring by definition), "one-time" restructuring that happens every other year, or marketing spend that the business needs to maintain revenue.</w:t>
      </w:r>
    </w:p>
    <w:p>
      <w:pPr>
        <w:spacing w:after="120" w:before="0"/>
      </w:pPr>
      <w:r>
        <w:rPr>
          <w:rFonts w:ascii="Arial" w:cs="Arial" w:eastAsia="Arial" w:hAnsi="Arial"/>
          <w:b/>
          <w:bCs/>
          <w:sz w:val="24"/>
          <w:szCs w:val="24"/>
        </w:rPr>
        <w:t xml:space="preserve">Related-Party Transactions. </w:t>
      </w:r>
      <w:r>
        <w:rPr>
          <w:rFonts w:ascii="Arial" w:cs="Arial" w:eastAsia="Arial" w:hAnsi="Arial"/>
          <w:sz w:val="24"/>
          <w:szCs w:val="24"/>
        </w:rPr>
        <w:t xml:space="preserve">The owner leases the building to the company at above-market rent. The owner’s spouse runs a consulting firm that bills the company $200K/year. The owner’s brother-in-law has a landscaping contract at 3x market rate. Every related-party transaction must be adjusted to arm’s-length pricing.</w:t>
      </w:r>
    </w:p>
    <w:p>
      <w:pPr>
        <w:spacing w:after="120" w:before="0"/>
      </w:pPr>
      <w:r>
        <w:rPr>
          <w:rFonts w:ascii="Arial" w:cs="Arial" w:eastAsia="Arial" w:hAnsi="Arial"/>
          <w:b/>
          <w:bCs/>
          <w:sz w:val="24"/>
          <w:szCs w:val="24"/>
        </w:rPr>
        <w:t xml:space="preserve">Pro Forma Adjustments. </w:t>
      </w:r>
      <w:r>
        <w:rPr>
          <w:rFonts w:ascii="Arial" w:cs="Arial" w:eastAsia="Arial" w:hAnsi="Arial"/>
          <w:sz w:val="24"/>
          <w:szCs w:val="24"/>
        </w:rPr>
        <w:t xml:space="preserve">Adjustments for changes that are already committed but not yet reflected in the financials. A new hire that started mid-year (annualize the cost), a contract that was signed in Q4 (annualize the revenue), a price increase that took effect recently.</w:t>
      </w:r>
    </w:p>
    <w:p>
      <w:pPr>
        <w:pStyle w:val="Heading3"/>
        <w:spacing w:after="100" w:before="240"/>
      </w:pPr>
      <w:r>
        <w:rPr>
          <w:rFonts w:ascii="Arial" w:cs="Arial" w:eastAsia="Arial" w:hAnsi="Arial"/>
          <w:b/>
          <w:bCs/>
          <w:sz w:val="26"/>
          <w:szCs w:val="26"/>
        </w:rPr>
        <w:t xml:space="preserve">3C: Working Capital &amp; Cash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6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Why It Matters in PE</w:t>
            </w:r>
          </w:p>
        </w:tc>
        <w:tc>
          <w:tcPr>
            <w:tcW w:type="dxa" w:w="25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Warning Signs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DSO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(AR / Revenue) x 365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Cash cycle speed. Every day of DSO improvement at a $30M company frees ~$82K in cash.</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DSO increasing YoY. DSO &gt;45 days in most services. DSO concentrated in one customer.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(Inventory / COGS) x 365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Capital tied up in product. Critical for distribution and manufacturing.</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DIO increasing while revenue flat. Obsolete inventory. Slow-moving SKUs.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DPO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 / COGS) x 365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 supplier financing. Higher is generally better (within reason).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DPO decreasing (suppliers tightening terms). DPO &gt; 60 days (may signal payment problems).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Cash Conversion Cycle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DSO + DIO - DPO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Days between paying suppliers and collecting from customers. Lower = better.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CCC increasing over time. CCC significantly above industry norms.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FCF Conversion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Free Cash Flow / EBITDA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much EBITDA converts to actual extractable cash. The real valuation test.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&lt;50% conversion. CapEx consistently &gt;D&amp;A. Working capital consuming growth.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CapEx Intensity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CapEx / Revenue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Ongoing reinvestment requirement. Capital-light is preferred.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&gt;5% for services. &gt;8% for distribution. Maintenance CapEx exceeding D&amp;A.</w:t>
            </w:r>
          </w:p>
        </w:tc>
      </w:tr>
    </w:tbl>
    <w:p>
      <w:pPr>
        <w:spacing w:after="120" w:before="0"/>
      </w:pPr>
      <w:r>
        <w:rPr>
          <w:rFonts w:ascii="Arial" w:cs="Arial" w:eastAsia="Arial" w:hAnsi="Arial"/>
          <w:sz w:val="24"/>
          <w:szCs w:val="24"/>
        </w:rPr>
        <w:t xml:space="preserve"/>
      </w:r>
    </w:p>
    <w:p>
      <w:pPr>
        <w:pStyle w:val="Heading3"/>
        <w:spacing w:after="100" w:before="240"/>
      </w:pPr>
      <w:r>
        <w:rPr>
          <w:rFonts w:ascii="Arial" w:cs="Arial" w:eastAsia="Arial" w:hAnsi="Arial"/>
          <w:b/>
          <w:bCs/>
          <w:sz w:val="26"/>
          <w:szCs w:val="26"/>
        </w:rPr>
        <w:t xml:space="preserve">3D: Leverage &amp; Return Metrics</w:t>
      </w:r>
    </w:p>
    <w:p>
      <w:pPr>
        <w:spacing w:after="120" w:before="0"/>
      </w:pPr>
      <w:r>
        <w:rPr>
          <w:rFonts w:ascii="Arial" w:cs="Arial" w:eastAsia="Arial" w:hAnsi="Arial"/>
          <w:b/>
          <w:bCs/>
          <w:sz w:val="24"/>
          <w:szCs w:val="24"/>
        </w:rPr>
        <w:t xml:space="preserve">Net Debt / EBITDA. </w:t>
      </w:r>
      <w:r>
        <w:rPr>
          <w:rFonts w:ascii="Arial" w:cs="Arial" w:eastAsia="Arial" w:hAnsi="Arial"/>
          <w:sz w:val="24"/>
          <w:szCs w:val="24"/>
        </w:rPr>
        <w:t xml:space="preserve">How leveraged is the business? LMM businesses typically support 2-4x leverage depending on cash flow stability. Recurring revenue businesses (dental, SaaS) can support higher leverage than cyclical businesses (construction, logistics).</w:t>
      </w:r>
    </w:p>
    <w:p>
      <w:pPr>
        <w:spacing w:after="120" w:before="0"/>
      </w:pPr>
      <w:r>
        <w:rPr>
          <w:rFonts w:ascii="Arial" w:cs="Arial" w:eastAsia="Arial" w:hAnsi="Arial"/>
          <w:b/>
          <w:bCs/>
          <w:sz w:val="24"/>
          <w:szCs w:val="24"/>
        </w:rPr>
        <w:t xml:space="preserve">Debt Service Coverage Ratio (DSCR). </w:t>
      </w:r>
      <w:r>
        <w:rPr>
          <w:rFonts w:ascii="Arial" w:cs="Arial" w:eastAsia="Arial" w:hAnsi="Arial"/>
          <w:sz w:val="24"/>
          <w:szCs w:val="24"/>
        </w:rPr>
        <w:t xml:space="preserve">EBITDA / (Interest + Principal Payments). Lenders want to see &gt;1.5x. Below 1.2x is distressed territory.</w:t>
      </w:r>
    </w:p>
    <w:p>
      <w:pPr>
        <w:spacing w:after="120" w:before="0"/>
      </w:pPr>
      <w:r>
        <w:rPr>
          <w:rFonts w:ascii="Arial" w:cs="Arial" w:eastAsia="Arial" w:hAnsi="Arial"/>
          <w:b/>
          <w:bCs/>
          <w:sz w:val="24"/>
          <w:szCs w:val="24"/>
        </w:rPr>
        <w:t xml:space="preserve">EV/EBITDA Multiple. </w:t>
      </w:r>
      <w:r>
        <w:rPr>
          <w:rFonts w:ascii="Arial" w:cs="Arial" w:eastAsia="Arial" w:hAnsi="Arial"/>
          <w:sz w:val="24"/>
          <w:szCs w:val="24"/>
        </w:rPr>
        <w:t xml:space="preserve">Enterprise Value / Adjusted EBITDA. The core valuation metric. LMM multiples typically range 4-8x, depending on industry, growth, margins, and recurring revenue. Services businesses with high recurring revenue can command 8-12x.</w:t>
      </w:r>
    </w:p>
    <w:p>
      <w:pPr>
        <w:spacing w:after="120" w:before="0"/>
      </w:pPr>
      <w:r>
        <w:rPr>
          <w:rFonts w:ascii="Arial" w:cs="Arial" w:eastAsia="Arial" w:hAnsi="Arial"/>
          <w:b/>
          <w:bCs/>
          <w:sz w:val="24"/>
          <w:szCs w:val="24"/>
        </w:rPr>
        <w:t xml:space="preserve">Implied Equity Value. </w:t>
      </w:r>
      <w:r>
        <w:rPr>
          <w:rFonts w:ascii="Arial" w:cs="Arial" w:eastAsia="Arial" w:hAnsi="Arial"/>
          <w:sz w:val="24"/>
          <w:szCs w:val="24"/>
        </w:rPr>
        <w:t xml:space="preserve">EV minus Net Debt. What the owner’s equity is actually worth. A $30M EV company with $8M net debt has $22M in equity value.</w:t>
      </w:r>
    </w:p>
    <w:p>
      <w:pPr>
        <w:pBdr>
          <w:bottom w:val="single" w:color="CCCCCC" w:sz="6" w:space="1"/>
        </w:pBdr>
        <w:spacing w:after="200" w:before="200"/>
      </w:pPr>
    </w:p>
    <w:p>
      <w:pPr>
        <w:pStyle w:val="Heading2"/>
        <w:spacing w:after="120" w:before="300"/>
      </w:pPr>
      <w:r>
        <w:rPr>
          <w:rFonts w:ascii="Arial" w:cs="Arial" w:eastAsia="Arial" w:hAnsi="Arial"/>
          <w:b/>
          <w:bCs/>
          <w:sz w:val="30"/>
          <w:szCs w:val="30"/>
        </w:rPr>
        <w:t xml:space="preserve">Learn Module: Interactive Design</w:t>
      </w:r>
    </w:p>
    <w:p>
      <w:pPr>
        <w:spacing w:after="120" w:before="0"/>
      </w:pPr>
      <w:r>
        <w:rPr>
          <w:rFonts w:ascii="Arial" w:cs="Arial" w:eastAsia="Arial" w:hAnsi="Arial"/>
          <w:sz w:val="24"/>
          <w:szCs w:val="24"/>
        </w:rPr>
        <w:t xml:space="preserve">The learn module is not a static text page. Each concept is presented with a brief explanation followed by an interactive micro-exercise using real data from the five case study companies. Examples:</w:t>
      </w:r>
    </w:p>
    <w:p>
      <w:pPr>
        <w:spacing w:after="120" w:before="0"/>
      </w:pPr>
      <w:r>
        <w:rPr>
          <w:rFonts w:ascii="Arial" w:cs="Arial" w:eastAsia="Arial" w:hAnsi="Arial"/>
          <w:sz w:val="24"/>
          <w:szCs w:val="24"/>
        </w:rPr>
        <w:t xml:space="preserve">After teaching gross margin, the tool immediately asks: "Calculate Coastal Foods’ gross margin for both years. What do you notice?" User calculates, commits answer, and sees that margin was flat despite revenue growth... first hands-on encounter with margin compression.</w:t>
      </w:r>
    </w:p>
    <w:p>
      <w:pPr>
        <w:spacing w:after="120" w:before="0"/>
      </w:pPr>
      <w:r>
        <w:rPr>
          <w:rFonts w:ascii="Arial" w:cs="Arial" w:eastAsia="Arial" w:hAnsi="Arial"/>
          <w:sz w:val="24"/>
          <w:szCs w:val="24"/>
        </w:rPr>
        <w:t xml:space="preserve">After teaching DSO, the tool asks: "Calculate DSO for Coastal Foods. Is it concerning for a food distributor?" User calculates 51.5 days, learns the industry benchmark (30-45 days), and connects it to the AR balance on the balance sheet.</w:t>
      </w:r>
    </w:p>
    <w:p>
      <w:pPr>
        <w:spacing w:after="120" w:before="0"/>
      </w:pPr>
      <w:r>
        <w:rPr>
          <w:rFonts w:ascii="Arial" w:cs="Arial" w:eastAsia="Arial" w:hAnsi="Arial"/>
          <w:sz w:val="24"/>
          <w:szCs w:val="24"/>
        </w:rPr>
        <w:t xml:space="preserve">After teaching owner comp normalization, the tool walks through Summit HVAC: "The owner takes $2M salary + $400K in perks. Market rate for a GM at this company is $250K. What’s the add-back?" This immediately connects to the adjusted EBITDA the user will encounter in stage one practice.</w:t>
      </w:r>
    </w:p>
    <w:p>
      <w:pPr>
        <w:spacing w:after="120" w:before="0"/>
      </w:pPr>
      <w:r>
        <w:rPr>
          <w:rFonts w:ascii="Arial" w:cs="Arial" w:eastAsia="Arial" w:hAnsi="Arial"/>
          <w:b/>
          <w:bCs/>
          <w:sz w:val="24"/>
          <w:szCs w:val="24"/>
        </w:rPr>
        <w:t xml:space="preserve">Design principle: </w:t>
      </w:r>
      <w:r>
        <w:rPr>
          <w:rFonts w:ascii="Arial" w:cs="Arial" w:eastAsia="Arial" w:hAnsi="Arial"/>
          <w:sz w:val="24"/>
          <w:szCs w:val="24"/>
        </w:rPr>
        <w:t xml:space="preserve">Every concept taught in the learn module should be exercised at least once before the user encounters it in stage one practice. The learn module builds the vocabulary. Stage one builds the fluency.</w:t>
      </w:r>
    </w:p>
    <w:p>
      <w:pPr>
        <w:pBdr>
          <w:bottom w:val="single" w:color="CCCCCC" w:sz="6" w:space="1"/>
        </w:pBdr>
        <w:spacing w:after="200" w:before="200"/>
      </w:pPr>
    </w:p>
    <w:p>
      <w:r>
        <w:br w:type="page"/>
      </w:r>
    </w:p>
    <w:p>
      <w:pPr>
        <w:pStyle w:val="Heading1"/>
        <w:spacing w:after="120" w:before="360"/>
      </w:pPr>
      <w:r>
        <w:rPr>
          <w:rFonts w:ascii="Arial" w:cs="Arial" w:eastAsia="Arial" w:hAnsi="Arial"/>
          <w:b/>
          <w:bCs/>
          <w:sz w:val="36"/>
          <w:szCs w:val="36"/>
        </w:rPr>
        <w:t xml:space="preserve">Part 2: Practice Stages</w:t>
      </w:r>
    </w:p>
    <w:p>
      <w:pPr>
        <w:pStyle w:val="Heading2"/>
        <w:spacing w:after="120" w:before="300"/>
      </w:pPr>
      <w:r>
        <w:rPr>
          <w:rFonts w:ascii="Arial" w:cs="Arial" w:eastAsia="Arial" w:hAnsi="Arial"/>
          <w:b/>
          <w:bCs/>
          <w:sz w:val="30"/>
          <w:szCs w:val="30"/>
        </w:rPr>
        <w:t xml:space="preserve">Stage 1: Financial Analysis (v1 improvements)</w:t>
      </w:r>
    </w:p>
    <w:p>
      <w:pPr>
        <w:spacing w:after="120" w:before="0"/>
      </w:pPr>
      <w:r>
        <w:rPr>
          <w:rFonts w:ascii="Arial" w:cs="Arial" w:eastAsia="Arial" w:hAnsi="Arial"/>
          <w:sz w:val="24"/>
          <w:szCs w:val="24"/>
        </w:rPr>
        <w:t xml:space="preserve">The existing Forge exercise with three upgrades:</w:t>
      </w:r>
    </w:p>
    <w:p>
      <w:pPr>
        <w:spacing w:after="120" w:before="0"/>
      </w:pPr>
      <w:r>
        <w:rPr>
          <w:rFonts w:ascii="Arial" w:cs="Arial" w:eastAsia="Arial" w:hAnsi="Arial"/>
          <w:b/>
          <w:bCs/>
          <w:sz w:val="24"/>
          <w:szCs w:val="24"/>
        </w:rPr>
        <w:t xml:space="preserve">Commit-first mechanic. </w:t>
      </w:r>
      <w:r>
        <w:rPr>
          <w:rFonts w:ascii="Arial" w:cs="Arial" w:eastAsia="Arial" w:hAnsi="Arial"/>
          <w:sz w:val="24"/>
          <w:szCs w:val="24"/>
        </w:rPr>
        <w:t xml:space="preserve">Before revealing the answer, require the user to type or select their answer. Quantitative questions get number inputs with optional calculation walkthrough. Qualitative questions require minimum 50-character text input. The committed answer is locked on reveal and displayed side-by-side with the model answer. For numeric questions, show delta: "Your answer: 14.2% | Model: 16.9% | Delta: -2.7pp."</w:t>
      </w:r>
    </w:p>
    <w:p>
      <w:pPr>
        <w:spacing w:after="120" w:before="0"/>
      </w:pPr>
      <w:r>
        <w:rPr>
          <w:rFonts w:ascii="Arial" w:cs="Arial" w:eastAsia="Arial" w:hAnsi="Arial"/>
          <w:b/>
          <w:bCs/>
          <w:sz w:val="24"/>
          <w:szCs w:val="24"/>
        </w:rPr>
        <w:t xml:space="preserve">Scenario variations. </w:t>
      </w:r>
      <w:r>
        <w:rPr>
          <w:rFonts w:ascii="Arial" w:cs="Arial" w:eastAsia="Arial" w:hAnsi="Arial"/>
          <w:sz w:val="24"/>
          <w:szCs w:val="24"/>
        </w:rPr>
        <w:t xml:space="preserve">Toggleable parameter overlays per company. "What if the top customer left?" "What if the owner exits in 6 months?" "What if revenue growth was flat?" Modifies specific values in the company JSON and generates new questions. The data structure already supports this... scenario overlays modify the financial data and trigger different analysis paths.</w:t>
      </w:r>
    </w:p>
    <w:p>
      <w:pPr>
        <w:spacing w:after="120" w:before="0"/>
      </w:pPr>
      <w:r>
        <w:rPr>
          <w:rFonts w:ascii="Arial" w:cs="Arial" w:eastAsia="Arial" w:hAnsi="Arial"/>
          <w:b/>
          <w:bCs/>
          <w:sz w:val="24"/>
          <w:szCs w:val="24"/>
        </w:rPr>
        <w:t xml:space="preserve">Diagnostic scoring. </w:t>
      </w:r>
      <w:r>
        <w:rPr>
          <w:rFonts w:ascii="Arial" w:cs="Arial" w:eastAsia="Arial" w:hAnsi="Arial"/>
          <w:sz w:val="24"/>
          <w:szCs w:val="24"/>
        </w:rPr>
        <w:t xml:space="preserve">Track accuracy by question type (metric, adjustment, valuation, risk, diagnostic, thesis) over time in localStorage. Surface a dashboard showing strength/weakness patterns. Weight future practice toward weak areas.</w:t>
      </w:r>
    </w:p>
    <w:p>
      <w:pPr>
        <w:pBdr>
          <w:bottom w:val="single" w:color="CCCCCC" w:sz="6" w:space="1"/>
        </w:pBdr>
        <w:spacing w:after="200" w:before="200"/>
      </w:pPr>
    </w:p>
    <w:p>
      <w:pPr>
        <w:pStyle w:val="Heading2"/>
        <w:spacing w:after="120" w:before="300"/>
      </w:pPr>
      <w:r>
        <w:rPr>
          <w:rFonts w:ascii="Arial" w:cs="Arial" w:eastAsia="Arial" w:hAnsi="Arial"/>
          <w:b/>
          <w:bCs/>
          <w:sz w:val="30"/>
          <w:szCs w:val="30"/>
        </w:rPr>
        <w:t xml:space="preserve">Stage 2: Operational Process Mapping + AI Opportunity Assessment</w:t>
      </w:r>
    </w:p>
    <w:p>
      <w:pPr>
        <w:spacing w:after="120" w:before="0"/>
      </w:pPr>
      <w:r>
        <w:rPr>
          <w:rFonts w:ascii="Arial" w:cs="Arial" w:eastAsia="Arial" w:hAnsi="Arial"/>
          <w:sz w:val="24"/>
          <w:szCs w:val="24"/>
        </w:rPr>
        <w:t xml:space="preserve">Unlocked after completing stage one for a given company.</w:t>
      </w:r>
    </w:p>
    <w:p>
      <w:pPr>
        <w:pStyle w:val="Heading3"/>
        <w:spacing w:after="100" w:before="240"/>
      </w:pPr>
      <w:r>
        <w:rPr>
          <w:rFonts w:ascii="Arial" w:cs="Arial" w:eastAsia="Arial" w:hAnsi="Arial"/>
          <w:b/>
          <w:bCs/>
          <w:sz w:val="26"/>
          <w:szCs w:val="26"/>
        </w:rPr>
        <w:t xml:space="preserve">Exercise 2A: Process Decomposition</w:t>
      </w:r>
    </w:p>
    <w:p>
      <w:pPr>
        <w:spacing w:after="120" w:before="0"/>
      </w:pPr>
      <w:r>
        <w:rPr>
          <w:rFonts w:ascii="Arial" w:cs="Arial" w:eastAsia="Arial" w:hAnsi="Arial"/>
          <w:sz w:val="24"/>
          <w:szCs w:val="24"/>
        </w:rPr>
        <w:t xml:space="preserve">The tool presents a P&amp;L line item and asks: "Decompose this into the operational activities that produce this cost. What are the humans doing?" User types their decomposition. Tool reveals a realistic process map showing functions, approximate headcount, and cost allocation. User compares instincts against revealed map.</w:t>
      </w:r>
    </w:p>
    <w:p>
      <w:pPr>
        <w:spacing w:after="120" w:before="0"/>
      </w:pPr>
      <w:r>
        <w:rPr>
          <w:rFonts w:ascii="Arial" w:cs="Arial" w:eastAsia="Arial" w:hAnsi="Arial"/>
          <w:b/>
          <w:bCs/>
          <w:sz w:val="24"/>
          <w:szCs w:val="24"/>
        </w:rPr>
        <w:t xml:space="preserve">Data requirement: </w:t>
      </w:r>
      <w:r>
        <w:rPr>
          <w:rFonts w:ascii="Arial" w:cs="Arial" w:eastAsia="Arial" w:hAnsi="Arial"/>
          <w:sz w:val="24"/>
          <w:szCs w:val="24"/>
        </w:rPr>
        <w:t xml:space="preserve">Each company needs an `operations` property containing process maps for major cost centers and revenue functions. Each process includes: description, approximate headcount, estimated annual cost, list of manual/repetitive sub-processes, current tools/systems, data quality assessment.</w:t>
      </w:r>
    </w:p>
    <w:p>
      <w:pPr>
        <w:pStyle w:val="Heading3"/>
        <w:spacing w:after="100" w:before="240"/>
      </w:pPr>
      <w:r>
        <w:rPr>
          <w:rFonts w:ascii="Arial" w:cs="Arial" w:eastAsia="Arial" w:hAnsi="Arial"/>
          <w:b/>
          <w:bCs/>
          <w:sz w:val="26"/>
          <w:szCs w:val="26"/>
        </w:rPr>
        <w:t xml:space="preserve">Exercise 2B: AI Opportunity Identification</w:t>
      </w:r>
    </w:p>
    <w:p>
      <w:pPr>
        <w:spacing w:after="120" w:before="0"/>
      </w:pPr>
      <w:r>
        <w:rPr>
          <w:rFonts w:ascii="Arial" w:cs="Arial" w:eastAsia="Arial" w:hAnsi="Arial"/>
          <w:sz w:val="24"/>
          <w:szCs w:val="24"/>
        </w:rPr>
        <w:t xml:space="preserve">After the process map is revealed: "Which processes are candidates for AI automation? Rank your top 3 by expected EBITDA impact." User selects and ranks. Tool reveals a scored impact/feasibility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34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High Feasibility</w:t>
            </w:r>
          </w:p>
        </w:tc>
        <w:tc>
          <w:tcPr>
            <w:tcW w:type="dxa" w:w="234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Medium Feasibility</w:t>
            </w:r>
          </w:p>
        </w:tc>
        <w:tc>
          <w:tcPr>
            <w:tcW w:type="dxa" w:w="234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Low Feasibility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High Impact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Deploy first. Quick wins with real EBITDA lift.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Plan for months 2-3. Worth the effort.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Strategic projects. 6+ month horizon.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Low Impact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Easy wins. Do if bandwidth allows.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Backlog. Revisit later.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Skip. Not worth it.</w:t>
            </w:r>
          </w:p>
        </w:tc>
      </w:tr>
    </w:tbl>
    <w:p>
      <w:pPr>
        <w:spacing w:after="120" w:before="0"/>
      </w:pPr>
      <w:r>
        <w:rPr>
          <w:rFonts w:ascii="Arial" w:cs="Arial" w:eastAsia="Arial" w:hAnsi="Arial"/>
          <w:sz w:val="24"/>
          <w:szCs w:val="24"/>
        </w:rPr>
        <w:t xml:space="preserve"/>
      </w:r>
    </w:p>
    <w:p>
      <w:pPr>
        <w:spacing w:after="120" w:before="0"/>
      </w:pPr>
      <w:r>
        <w:rPr>
          <w:rFonts w:ascii="Arial" w:cs="Arial" w:eastAsia="Arial" w:hAnsi="Arial"/>
          <w:b/>
          <w:bCs/>
          <w:sz w:val="24"/>
          <w:szCs w:val="24"/>
        </w:rPr>
        <w:t xml:space="preserve">Scoring: </w:t>
      </w:r>
      <w:r>
        <w:rPr>
          <w:rFonts w:ascii="Arial" w:cs="Arial" w:eastAsia="Arial" w:hAnsi="Arial"/>
          <w:sz w:val="24"/>
          <w:szCs w:val="24"/>
        </w:rPr>
        <w:t xml:space="preserve">Did you correctly assess impact vs. feasibility? Did you account for company technical readiness? Identifying the right top priority matters more than listing many items with no ranking.</w:t>
      </w:r>
    </w:p>
    <w:p>
      <w:pPr>
        <w:pBdr>
          <w:bottom w:val="single" w:color="CCCCCC" w:sz="6" w:space="1"/>
        </w:pBdr>
        <w:spacing w:after="200" w:before="200"/>
      </w:pPr>
    </w:p>
    <w:p>
      <w:pPr>
        <w:pStyle w:val="Heading2"/>
        <w:spacing w:after="120" w:before="300"/>
      </w:pPr>
      <w:r>
        <w:rPr>
          <w:rFonts w:ascii="Arial" w:cs="Arial" w:eastAsia="Arial" w:hAnsi="Arial"/>
          <w:b/>
          <w:bCs/>
          <w:sz w:val="30"/>
          <w:szCs w:val="30"/>
        </w:rPr>
        <w:t xml:space="preserve">Stage 3: Solution Design + Implementation Sequencing</w:t>
      </w:r>
    </w:p>
    <w:p>
      <w:pPr>
        <w:spacing w:after="120" w:before="0"/>
      </w:pPr>
      <w:r>
        <w:rPr>
          <w:rFonts w:ascii="Arial" w:cs="Arial" w:eastAsia="Arial" w:hAnsi="Arial"/>
          <w:sz w:val="24"/>
          <w:szCs w:val="24"/>
        </w:rPr>
        <w:t xml:space="preserve">Unlocked after completing stage two.</w:t>
      </w:r>
    </w:p>
    <w:p>
      <w:pPr>
        <w:pStyle w:val="Heading3"/>
        <w:spacing w:after="100" w:before="240"/>
      </w:pPr>
      <w:r>
        <w:rPr>
          <w:rFonts w:ascii="Arial" w:cs="Arial" w:eastAsia="Arial" w:hAnsi="Arial"/>
          <w:b/>
          <w:bCs/>
          <w:sz w:val="26"/>
          <w:szCs w:val="26"/>
        </w:rPr>
        <w:t xml:space="preserve">Exercise 3A: Solution Classification</w:t>
      </w:r>
    </w:p>
    <w:p>
      <w:pPr>
        <w:spacing w:after="120" w:before="0"/>
      </w:pPr>
      <w:r>
        <w:rPr>
          <w:rFonts w:ascii="Arial" w:cs="Arial" w:eastAsia="Arial" w:hAnsi="Arial"/>
          <w:sz w:val="24"/>
          <w:szCs w:val="24"/>
        </w:rPr>
        <w:t xml:space="preserve">For each AI opportunity, classify the solution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52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252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252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E7D32"/>
                <w:sz w:val="20"/>
                <w:szCs w:val="20"/>
              </w:rPr>
              <w:t xml:space="preserve">Tier 1</w:t>
            </w:r>
            <w:r>
              <w:rPr>
                <w:rFonts w:ascii="Arial" w:cs="Arial" w:eastAsia="Arial" w:hAnsi="Arial"/>
                <w:sz w:val="18"/>
                <w:szCs w:val="18"/>
              </w:rPr>
              <w:t xml:space="preserve">
Vertical SaaS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Existing industry software that solves this.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Problem is common, solved product exists. Buy, don’t build.</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ServiceTitan for HVAC dispatch. Routific for delivery. Dentrix for dental.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57F17"/>
                <w:sz w:val="20"/>
                <w:szCs w:val="20"/>
              </w:rPr>
              <w:t xml:space="preserve">Tier 2</w:t>
            </w:r>
            <w:r>
              <w:rPr>
                <w:rFonts w:ascii="Arial" w:cs="Arial" w:eastAsia="Arial" w:hAnsi="Arial"/>
                <w:sz w:val="18"/>
                <w:szCs w:val="18"/>
              </w:rPr>
              <w:t xml:space="preserve">
Workflow Automation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Zapier/Make/n8n + lightweight AI layers.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Back-office, somewhat unique, no deep domain logic.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AP/AR automation, email triage, report gen, data reconciliation.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62828"/>
                <w:sz w:val="20"/>
                <w:szCs w:val="20"/>
              </w:rPr>
              <w:t xml:space="preserve">Tier 3</w:t>
            </w:r>
            <w:r>
              <w:rPr>
                <w:rFonts w:ascii="Arial" w:cs="Arial" w:eastAsia="Arial" w:hAnsi="Arial"/>
                <w:sz w:val="18"/>
                <w:szCs w:val="18"/>
              </w:rPr>
              <w:t xml:space="preserve">
Custom Agentic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Purpose-built AI agents with domain logic.</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Complex decisions, tribal knowledge, multi-step reasoning.</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Owner quoting logic. Dynamic pricing. Knowledge base from departing founder.</w:t>
            </w:r>
          </w:p>
        </w:tc>
      </w:tr>
    </w:tbl>
    <w:p>
      <w:pPr>
        <w:spacing w:after="120" w:before="0"/>
      </w:pPr>
      <w:r>
        <w:rPr>
          <w:rFonts w:ascii="Arial" w:cs="Arial" w:eastAsia="Arial" w:hAnsi="Arial"/>
          <w:sz w:val="24"/>
          <w:szCs w:val="24"/>
        </w:rPr>
        <w:t xml:space="preserve"/>
      </w:r>
    </w:p>
    <w:p>
      <w:pPr>
        <w:spacing w:after="120" w:before="0"/>
      </w:pPr>
      <w:r>
        <w:rPr>
          <w:rFonts w:ascii="Arial" w:cs="Arial" w:eastAsia="Arial" w:hAnsi="Arial"/>
          <w:b/>
          <w:bCs/>
          <w:sz w:val="24"/>
          <w:szCs w:val="24"/>
        </w:rPr>
        <w:t xml:space="preserve">Scoring: </w:t>
      </w:r>
      <w:r>
        <w:rPr>
          <w:rFonts w:ascii="Arial" w:cs="Arial" w:eastAsia="Arial" w:hAnsi="Arial"/>
          <w:sz w:val="24"/>
          <w:szCs w:val="24"/>
        </w:rPr>
        <w:t xml:space="preserve">Did you avoid over-engineering (Tier 3 when Tier 1 exists) or under-engineering (Tier 1 for something genuinely complex)? Did you consider technical maturity... a 45-person shop doesn’t have an IT team.</w:t>
      </w:r>
    </w:p>
    <w:p>
      <w:pPr>
        <w:pStyle w:val="Heading3"/>
        <w:spacing w:after="100" w:before="240"/>
      </w:pPr>
      <w:r>
        <w:rPr>
          <w:rFonts w:ascii="Arial" w:cs="Arial" w:eastAsia="Arial" w:hAnsi="Arial"/>
          <w:b/>
          <w:bCs/>
          <w:sz w:val="26"/>
          <w:szCs w:val="26"/>
        </w:rPr>
        <w:t xml:space="preserve">Exercise 3B: 90-Day Implementation Roadmap</w:t>
      </w:r>
    </w:p>
    <w:p>
      <w:pPr>
        <w:spacing w:after="120" w:before="0"/>
      </w:pPr>
      <w:r>
        <w:rPr>
          <w:rFonts w:ascii="Arial" w:cs="Arial" w:eastAsia="Arial" w:hAnsi="Arial"/>
          <w:sz w:val="24"/>
          <w:szCs w:val="24"/>
        </w:rPr>
        <w:t xml:space="preserve">The tool presents all opportunities with tiers and estimated impacts. User builds a three-phase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Days 1-30</w:t>
            </w:r>
          </w:p>
        </w:tc>
        <w:tc>
          <w:tcPr>
            <w:tcW w:type="dxa" w:w="26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Days 31-60</w:t>
            </w:r>
          </w:p>
        </w:tc>
        <w:tc>
          <w:tcPr>
            <w:tcW w:type="dxa" w:w="2600"/>
            <w:tcBorders>
              <w:top w:val="single" w:color="CCCCCC" w:sz="1"/>
              <w:left w:val="single" w:color="CCCCCC" w:sz="1"/>
              <w:bottom w:val="single" w:color="CCCCCC" w:sz="1"/>
              <w:right w:val="single" w:color="CCCCCC" w:sz="1"/>
            </w:tcBorders>
            <w:shd w:fill="2B3A4A" w:val="clear"/>
            <w:tcMar>
              <w:top w:type="dxa" w:w="80"/>
              <w:left w:type="dxa" w:w="120"/>
              <w:bottom w:type="dxa" w:w="80"/>
              <w:right w:type="dxa" w:w="120"/>
            </w:tcMar>
          </w:tcPr>
          <w:p>
            <w:r>
              <w:rPr>
                <w:rFonts w:ascii="Arial" w:cs="Arial" w:eastAsia="Arial" w:hAnsi="Arial"/>
                <w:b/>
                <w:bCs/>
                <w:color w:val="FFFFFF"/>
                <w:sz w:val="20"/>
                <w:szCs w:val="20"/>
              </w:rPr>
              <w:t xml:space="preserve">Days 61-90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Focus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Quick wins. Visible, low-risk automations that build trust.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Core deployments. Higher impact, more setup, real EBITDA movement.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Strategic initiatives. Longer-horizon, plus measure phase 1-2 impact.</w:t>
            </w:r>
          </w:p>
        </w:tc>
      </w:tr>
    </w:tbl>
    <w:p>
      <w:pPr>
        <w:spacing w:after="120" w:before="0"/>
      </w:pPr>
      <w:r>
        <w:rPr>
          <w:rFonts w:ascii="Arial" w:cs="Arial" w:eastAsia="Arial" w:hAnsi="Arial"/>
          <w:sz w:val="24"/>
          <w:szCs w:val="24"/>
        </w:rPr>
        <w:t xml:space="preserve"/>
      </w:r>
    </w:p>
    <w:p>
      <w:pPr>
        <w:spacing w:after="120" w:before="0"/>
      </w:pPr>
      <w:r>
        <w:rPr>
          <w:rFonts w:ascii="Arial" w:cs="Arial" w:eastAsia="Arial" w:hAnsi="Arial"/>
          <w:b/>
          <w:bCs/>
          <w:sz w:val="24"/>
          <w:szCs w:val="24"/>
        </w:rPr>
        <w:t xml:space="preserve">Scoring principles: </w:t>
      </w:r>
      <w:r>
        <w:rPr>
          <w:rFonts w:ascii="Arial" w:cs="Arial" w:eastAsia="Arial" w:hAnsi="Arial"/>
          <w:sz w:val="24"/>
          <w:szCs w:val="24"/>
        </w:rPr>
        <w:t xml:space="preserve">Quick wins first (build organizational trust). Dependencies respected (clean data before forecasting model). Resource-realistic (company size and tech maturity). EBITDA impact estimated (rough dollar range per phase).</w:t>
      </w:r>
    </w:p>
    <w:p>
      <w:pPr>
        <w:pBdr>
          <w:bottom w:val="single" w:color="CCCCCC" w:sz="6" w:space="1"/>
        </w:pBdr>
        <w:spacing w:after="200" w:before="200"/>
      </w:pPr>
    </w:p>
    <w:p>
      <w:r>
        <w:br w:type="page"/>
      </w:r>
    </w:p>
    <w:p>
      <w:pPr>
        <w:pStyle w:val="Heading1"/>
        <w:spacing w:after="120" w:before="360"/>
      </w:pPr>
      <w:r>
        <w:rPr>
          <w:rFonts w:ascii="Arial" w:cs="Arial" w:eastAsia="Arial" w:hAnsi="Arial"/>
          <w:b/>
          <w:bCs/>
          <w:sz w:val="36"/>
          <w:szCs w:val="36"/>
        </w:rPr>
        <w:t xml:space="preserve">Part 3: Data Architecture &amp; Build Sequence</w:t>
      </w:r>
    </w:p>
    <w:p>
      <w:pPr>
        <w:pStyle w:val="Heading2"/>
        <w:spacing w:after="120" w:before="300"/>
      </w:pPr>
      <w:r>
        <w:rPr>
          <w:rFonts w:ascii="Arial" w:cs="Arial" w:eastAsia="Arial" w:hAnsi="Arial"/>
          <w:b/>
          <w:bCs/>
          <w:sz w:val="30"/>
          <w:szCs w:val="30"/>
        </w:rPr>
        <w:t xml:space="preserve">New Data Layers Per Company</w:t>
      </w:r>
    </w:p>
    <w:p>
      <w:pPr>
        <w:spacing w:after="120" w:before="0"/>
      </w:pPr>
      <w:r>
        <w:rPr>
          <w:rFonts w:ascii="Arial" w:cs="Arial" w:eastAsia="Arial" w:hAnsi="Arial"/>
          <w:b/>
          <w:bCs/>
          <w:sz w:val="24"/>
          <w:szCs w:val="24"/>
        </w:rPr>
        <w:t xml:space="preserve">operations: </w:t>
      </w:r>
      <w:r>
        <w:rPr>
          <w:rFonts w:ascii="Arial" w:cs="Arial" w:eastAsia="Arial" w:hAnsi="Arial"/>
          <w:sz w:val="24"/>
          <w:szCs w:val="24"/>
        </w:rPr>
        <w:t xml:space="preserve">Process maps for cost centers and revenue functions. Each process: description, headcount, cost, manual sub-processes, current tools, data quality.</w:t>
      </w:r>
    </w:p>
    <w:p>
      <w:pPr>
        <w:spacing w:after="120" w:before="0"/>
      </w:pPr>
      <w:r>
        <w:rPr>
          <w:rFonts w:ascii="Arial" w:cs="Arial" w:eastAsia="Arial" w:hAnsi="Arial"/>
          <w:b/>
          <w:bCs/>
          <w:sz w:val="24"/>
          <w:szCs w:val="24"/>
        </w:rPr>
        <w:t xml:space="preserve">aiOpportunities: </w:t>
      </w:r>
      <w:r>
        <w:rPr>
          <w:rFonts w:ascii="Arial" w:cs="Arial" w:eastAsia="Arial" w:hAnsi="Arial"/>
          <w:sz w:val="24"/>
          <w:szCs w:val="24"/>
        </w:rPr>
        <w:t xml:space="preserve">Scored assessment per process. Feasibility (H/M/L), EBITDA impact range, recommended tier (1/2/3), complexity notes, dependencies, risks.</w:t>
      </w:r>
    </w:p>
    <w:p>
      <w:pPr>
        <w:spacing w:after="120" w:before="0"/>
      </w:pPr>
      <w:r>
        <w:rPr>
          <w:rFonts w:ascii="Arial" w:cs="Arial" w:eastAsia="Arial" w:hAnsi="Arial"/>
          <w:b/>
          <w:bCs/>
          <w:sz w:val="24"/>
          <w:szCs w:val="24"/>
        </w:rPr>
        <w:t xml:space="preserve">implementationContext: </w:t>
      </w:r>
      <w:r>
        <w:rPr>
          <w:rFonts w:ascii="Arial" w:cs="Arial" w:eastAsia="Arial" w:hAnsi="Arial"/>
          <w:sz w:val="24"/>
          <w:szCs w:val="24"/>
        </w:rPr>
        <w:t xml:space="preserve">Company-specific realism factors. Tech stack, IT capability (none/basic/moderate), management openness to change, data infrastructure quality, regulatory constraints.</w:t>
      </w:r>
    </w:p>
    <w:p>
      <w:pPr>
        <w:spacing w:after="120" w:before="0"/>
      </w:pPr>
      <w:r>
        <w:rPr>
          <w:rFonts w:ascii="Arial" w:cs="Arial" w:eastAsia="Arial" w:hAnsi="Arial"/>
          <w:b/>
          <w:bCs/>
          <w:sz w:val="24"/>
          <w:szCs w:val="24"/>
        </w:rPr>
        <w:t xml:space="preserve">scenarioOverlays: </w:t>
      </w:r>
      <w:r>
        <w:rPr>
          <w:rFonts w:ascii="Arial" w:cs="Arial" w:eastAsia="Arial" w:hAnsi="Arial"/>
          <w:sz w:val="24"/>
          <w:szCs w:val="24"/>
        </w:rPr>
        <w:t xml:space="preserve">Alternative parameter sets for stage one variations. Each overlay modifies specific financial values and triggers new questions.</w:t>
      </w:r>
    </w:p>
    <w:p>
      <w:pPr>
        <w:spacing w:after="120" w:before="0"/>
      </w:pPr>
      <w:r>
        <w:rPr>
          <w:rFonts w:ascii="Arial" w:cs="Arial" w:eastAsia="Arial" w:hAnsi="Arial"/>
          <w:b/>
          <w:bCs/>
          <w:sz w:val="24"/>
          <w:szCs w:val="24"/>
        </w:rPr>
        <w:t xml:space="preserve">learnModuleExercises: </w:t>
      </w:r>
      <w:r>
        <w:rPr>
          <w:rFonts w:ascii="Arial" w:cs="Arial" w:eastAsia="Arial" w:hAnsi="Arial"/>
          <w:sz w:val="24"/>
          <w:szCs w:val="24"/>
        </w:rPr>
        <w:t xml:space="preserve">Micro-exercises linked to specific learn module concepts. Each references a real data point from the company’s financials.</w:t>
      </w:r>
    </w:p>
    <w:p>
      <w:pPr>
        <w:pBdr>
          <w:bottom w:val="single" w:color="CCCCCC" w:sz="6" w:space="1"/>
        </w:pBdr>
        <w:spacing w:after="200" w:before="200"/>
      </w:pPr>
    </w:p>
    <w:p>
      <w:pPr>
        <w:pStyle w:val="Heading2"/>
        <w:spacing w:after="120" w:before="300"/>
      </w:pPr>
      <w:r>
        <w:rPr>
          <w:rFonts w:ascii="Arial" w:cs="Arial" w:eastAsia="Arial" w:hAnsi="Arial"/>
          <w:b/>
          <w:bCs/>
          <w:sz w:val="30"/>
          <w:szCs w:val="30"/>
        </w:rPr>
        <w:t xml:space="preserve">Recommended Build Sequence</w:t>
      </w:r>
    </w:p>
    <w:p>
      <w:pPr>
        <w:spacing w:after="120" w:before="0"/>
      </w:pPr>
      <w:r>
        <w:rPr>
          <w:rFonts w:ascii="Arial" w:cs="Arial" w:eastAsia="Arial" w:hAnsi="Arial"/>
          <w:b/>
          <w:bCs/>
          <w:sz w:val="24"/>
          <w:szCs w:val="24"/>
        </w:rPr>
        <w:t xml:space="preserve">Phase A: Learn Module + v1 Improvements</w:t>
      </w:r>
    </w:p>
    <w:p>
      <w:pPr>
        <w:spacing w:after="120" w:before="0"/>
      </w:pPr>
      <w:r>
        <w:rPr>
          <w:rFonts w:ascii="Arial" w:cs="Arial" w:eastAsia="Arial" w:hAnsi="Arial"/>
          <w:sz w:val="24"/>
          <w:szCs w:val="24"/>
        </w:rPr>
        <w:t xml:space="preserve">Build the learn module as the entry point to the app. Add commit-first input mechanic and diagnostic scoring to existing stage one questions. These improvements stand alone and create the instructional foundation.</w:t>
      </w:r>
    </w:p>
    <w:p>
      <w:pPr>
        <w:spacing w:after="120" w:before="0"/>
      </w:pPr>
      <w:r>
        <w:rPr>
          <w:rFonts w:ascii="Arial" w:cs="Arial" w:eastAsia="Arial" w:hAnsi="Arial"/>
          <w:b/>
          <w:bCs/>
          <w:sz w:val="24"/>
          <w:szCs w:val="24"/>
        </w:rPr>
        <w:t xml:space="preserve">Phase B: Stage Two</w:t>
      </w:r>
    </w:p>
    <w:p>
      <w:pPr>
        <w:spacing w:after="120" w:before="0"/>
      </w:pPr>
      <w:r>
        <w:rPr>
          <w:rFonts w:ascii="Arial" w:cs="Arial" w:eastAsia="Arial" w:hAnsi="Arial"/>
          <w:sz w:val="24"/>
          <w:szCs w:val="24"/>
        </w:rPr>
        <w:t xml:space="preserve">Build operations data for all five companies. Build exercises 2A (process decomposition) and 2B (AI opportunity identification). This is the highest-value new capability. Validate through use before building stage three.</w:t>
      </w:r>
    </w:p>
    <w:p>
      <w:pPr>
        <w:spacing w:after="120" w:before="0"/>
      </w:pPr>
      <w:r>
        <w:rPr>
          <w:rFonts w:ascii="Arial" w:cs="Arial" w:eastAsia="Arial" w:hAnsi="Arial"/>
          <w:b/>
          <w:bCs/>
          <w:sz w:val="24"/>
          <w:szCs w:val="24"/>
        </w:rPr>
        <w:t xml:space="preserve">Phase C: Scenario Variations</w:t>
      </w:r>
    </w:p>
    <w:p>
      <w:pPr>
        <w:spacing w:after="120" w:before="0"/>
      </w:pPr>
      <w:r>
        <w:rPr>
          <w:rFonts w:ascii="Arial" w:cs="Arial" w:eastAsia="Arial" w:hAnsi="Arial"/>
          <w:sz w:val="24"/>
          <w:szCs w:val="24"/>
        </w:rPr>
        <w:t xml:space="preserve">Add scenario overlay system to stage one. Lower priority than stage two but adds significant training value. Can be built in parallel.</w:t>
      </w:r>
    </w:p>
    <w:p>
      <w:pPr>
        <w:spacing w:after="120" w:before="0"/>
      </w:pPr>
      <w:r>
        <w:rPr>
          <w:rFonts w:ascii="Arial" w:cs="Arial" w:eastAsia="Arial" w:hAnsi="Arial"/>
          <w:b/>
          <w:bCs/>
          <w:sz w:val="24"/>
          <w:szCs w:val="24"/>
        </w:rPr>
        <w:t xml:space="preserve">Phase D: Stage Three</w:t>
      </w:r>
    </w:p>
    <w:p>
      <w:pPr>
        <w:spacing w:after="120" w:before="0"/>
      </w:pPr>
      <w:r>
        <w:rPr>
          <w:rFonts w:ascii="Arial" w:cs="Arial" w:eastAsia="Arial" w:hAnsi="Arial"/>
          <w:sz w:val="24"/>
          <w:szCs w:val="24"/>
        </w:rPr>
        <w:t xml:space="preserve">Build solution classification (3A) and 90-day roadmap builder (3B). Build after getting reps with stage two to validate the approach.</w:t>
      </w:r>
    </w:p>
    <w:p>
      <w:pPr>
        <w:pBdr>
          <w:bottom w:val="single" w:color="CCCCCC" w:sz="6" w:space="1"/>
        </w:pBdr>
        <w:spacing w:after="200" w:before="200"/>
      </w:pPr>
    </w:p>
    <w:p>
      <w:pPr>
        <w:spacing w:after="120" w:before="0"/>
      </w:pPr>
      <w:r>
        <w:rPr>
          <w:rFonts w:ascii="Arial" w:cs="Arial" w:eastAsia="Arial" w:hAnsi="Arial"/>
          <w:i/>
          <w:iCs/>
          <w:color w:val="666666"/>
          <w:sz w:val="20"/>
          <w:szCs w:val="20"/>
        </w:rPr>
        <w:t xml:space="preserve">--- End of Brief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 w:type="paragraph" w:styleId="Heading2">
    <w:name w:val="Heading 2"/>
    <w:basedOn w:val="Normal"/>
    <w:next w:val="Normal"/>
    <w:qFormat/>
    <w:pPr>
      <w:spacing w:after="120" w:before="300"/>
      <w:outlineLvl w:val="1"/>
    </w:pPr>
    <w:rPr>
      <w:rFonts w:ascii="Arial" w:cs="Arial" w:eastAsia="Arial" w:hAnsi="Arial"/>
      <w:b/>
      <w:bCs/>
      <w:sz w:val="30"/>
      <w:szCs w:val="30"/>
    </w:rPr>
  </w:style>
  <w:style w:type="paragraph" w:styleId="Heading3">
    <w:name w:val="Heading 3"/>
    <w:basedOn w:val="Normal"/>
    <w:next w:val="Normal"/>
    <w:qFormat/>
    <w:pPr>
      <w:spacing w:after="100" w:before="2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2026-03-18T19:13:20.923Z</dcterms:created>
  <dcterms:modified xsi:type="dcterms:W3CDTF">2026-03-18T19:13:20.923Z</dcterms:modified>
</cp:coreProperties>
</file>

<file path=docProps/custom.xml><?xml version="1.0" encoding="utf-8"?>
<Properties xmlns="http://schemas.openxmlformats.org/officeDocument/2006/custom-properties" xmlns:vt="http://schemas.openxmlformats.org/officeDocument/2006/docPropsVTypes"/>
</file>