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744" w:rsidRDefault="00C50744">
      <w:r>
        <w:t>Evaluation of time and space complexity of a quantum algorithm for the Travelling Salesman problem as compared to its classical computing counterparts for benchmarks.</w:t>
      </w:r>
    </w:p>
    <w:p w:rsidR="00C50744" w:rsidRDefault="00C50744"/>
    <w:p w:rsidR="00496A24" w:rsidRDefault="00C50744">
      <w:r>
        <w:t>P vs NP</w:t>
      </w:r>
    </w:p>
    <w:p w:rsidR="00CC25A6" w:rsidRDefault="00CC25A6" w:rsidP="00CC25A6">
      <w:pPr>
        <w:pStyle w:val="ListParagraph"/>
        <w:numPr>
          <w:ilvl w:val="0"/>
          <w:numId w:val="3"/>
        </w:numPr>
      </w:pPr>
      <w:r>
        <w:t>P = NP</w:t>
      </w:r>
    </w:p>
    <w:p w:rsidR="00C50744" w:rsidRDefault="00C50744" w:rsidP="00C50744">
      <w:pPr>
        <w:pStyle w:val="ListParagraph"/>
        <w:numPr>
          <w:ilvl w:val="0"/>
          <w:numId w:val="3"/>
        </w:numPr>
      </w:pPr>
      <w:r>
        <w:t>Definition of P</w:t>
      </w:r>
    </w:p>
    <w:p w:rsidR="00C50744" w:rsidRDefault="00C50744" w:rsidP="00C50744">
      <w:pPr>
        <w:pStyle w:val="ListParagraph"/>
        <w:numPr>
          <w:ilvl w:val="1"/>
          <w:numId w:val="3"/>
        </w:numPr>
      </w:pPr>
      <w:r>
        <w:t>Deterministic</w:t>
      </w:r>
    </w:p>
    <w:p w:rsidR="00C50744" w:rsidRDefault="00C50744" w:rsidP="00C50744">
      <w:pPr>
        <w:pStyle w:val="ListParagraph"/>
        <w:numPr>
          <w:ilvl w:val="1"/>
          <w:numId w:val="3"/>
        </w:numPr>
      </w:pPr>
      <w:r>
        <w:t>Polynomial Time</w:t>
      </w:r>
    </w:p>
    <w:p w:rsidR="00C50744" w:rsidRDefault="00C50744" w:rsidP="00C50744">
      <w:pPr>
        <w:pStyle w:val="ListParagraph"/>
        <w:numPr>
          <w:ilvl w:val="0"/>
          <w:numId w:val="3"/>
        </w:numPr>
      </w:pPr>
      <w:r>
        <w:t>Definition of NP</w:t>
      </w:r>
    </w:p>
    <w:p w:rsidR="00C50744" w:rsidRDefault="00C50744" w:rsidP="00C50744">
      <w:pPr>
        <w:pStyle w:val="ListParagraph"/>
        <w:numPr>
          <w:ilvl w:val="1"/>
          <w:numId w:val="3"/>
        </w:numPr>
      </w:pPr>
      <w:r>
        <w:t>Verifiability in Polynomial Time</w:t>
      </w:r>
    </w:p>
    <w:p w:rsidR="00C50744" w:rsidRDefault="00C50744" w:rsidP="00C50744">
      <w:pPr>
        <w:pStyle w:val="ListParagraph"/>
        <w:numPr>
          <w:ilvl w:val="1"/>
          <w:numId w:val="3"/>
        </w:numPr>
      </w:pPr>
      <w:r>
        <w:t>Reduceability</w:t>
      </w:r>
    </w:p>
    <w:p w:rsidR="00C50744" w:rsidRDefault="00C50744" w:rsidP="00C50744">
      <w:pPr>
        <w:pStyle w:val="ListParagraph"/>
        <w:numPr>
          <w:ilvl w:val="1"/>
          <w:numId w:val="3"/>
        </w:numPr>
      </w:pPr>
      <w:r>
        <w:t>Non-deterministic algorithms</w:t>
      </w:r>
    </w:p>
    <w:p w:rsidR="00C50744" w:rsidRDefault="00C50744" w:rsidP="00C50744">
      <w:pPr>
        <w:pStyle w:val="ListParagraph"/>
        <w:numPr>
          <w:ilvl w:val="0"/>
          <w:numId w:val="3"/>
        </w:numPr>
      </w:pPr>
      <w:r>
        <w:t>Big-O Notation</w:t>
      </w:r>
    </w:p>
    <w:p w:rsidR="00C50744" w:rsidRDefault="00C50744" w:rsidP="00C50744">
      <w:r>
        <w:t>Complexity Theory</w:t>
      </w:r>
    </w:p>
    <w:p w:rsidR="00C50744" w:rsidRDefault="00C50744" w:rsidP="00C50744">
      <w:pPr>
        <w:pStyle w:val="ListParagraph"/>
        <w:numPr>
          <w:ilvl w:val="0"/>
          <w:numId w:val="3"/>
        </w:numPr>
      </w:pPr>
      <w:r>
        <w:t>Time Complexity Analysis</w:t>
      </w:r>
    </w:p>
    <w:p w:rsidR="00C50744" w:rsidRDefault="00C50744" w:rsidP="00C50744">
      <w:pPr>
        <w:pStyle w:val="ListParagraph"/>
        <w:numPr>
          <w:ilvl w:val="0"/>
          <w:numId w:val="3"/>
        </w:numPr>
      </w:pPr>
      <w:r>
        <w:t>Space Complexity Analysis</w:t>
      </w:r>
    </w:p>
    <w:p w:rsidR="00C50744" w:rsidRDefault="00C50744">
      <w:r>
        <w:t>Travelling Salesman</w:t>
      </w:r>
    </w:p>
    <w:p w:rsidR="00C50744" w:rsidRDefault="00C50744" w:rsidP="00C50744">
      <w:pPr>
        <w:pStyle w:val="ListParagraph"/>
        <w:numPr>
          <w:ilvl w:val="0"/>
          <w:numId w:val="2"/>
        </w:numPr>
      </w:pPr>
      <w:r>
        <w:t>Definition</w:t>
      </w:r>
    </w:p>
    <w:p w:rsidR="00436131" w:rsidRDefault="00436131" w:rsidP="00C50744">
      <w:pPr>
        <w:pStyle w:val="ListParagraph"/>
        <w:numPr>
          <w:ilvl w:val="0"/>
          <w:numId w:val="2"/>
        </w:numPr>
      </w:pPr>
      <w:r>
        <w:t>Brute-force algorithm</w:t>
      </w:r>
    </w:p>
    <w:p w:rsidR="00C50744" w:rsidRDefault="00C50744" w:rsidP="00C50744">
      <w:pPr>
        <w:pStyle w:val="ListParagraph"/>
        <w:numPr>
          <w:ilvl w:val="0"/>
          <w:numId w:val="2"/>
        </w:numPr>
      </w:pPr>
      <w:r>
        <w:t xml:space="preserve">Current Best-Known </w:t>
      </w:r>
      <w:r w:rsidR="00436131">
        <w:t>Heuristic Algorithm</w:t>
      </w:r>
    </w:p>
    <w:p w:rsidR="00C50744" w:rsidRDefault="00C50744">
      <w:r>
        <w:t>History of Quantum Computing</w:t>
      </w:r>
    </w:p>
    <w:p w:rsidR="00C50744" w:rsidRDefault="00C50744" w:rsidP="00C50744">
      <w:pPr>
        <w:pStyle w:val="ListParagraph"/>
        <w:numPr>
          <w:ilvl w:val="0"/>
          <w:numId w:val="2"/>
        </w:numPr>
      </w:pPr>
      <w:r>
        <w:t>Shor’s Algorithm for Integer Factorization</w:t>
      </w:r>
    </w:p>
    <w:p w:rsidR="00C50744" w:rsidRDefault="00C50744" w:rsidP="00C50744">
      <w:pPr>
        <w:pStyle w:val="ListParagraph"/>
        <w:numPr>
          <w:ilvl w:val="1"/>
          <w:numId w:val="2"/>
        </w:numPr>
      </w:pPr>
      <w:r>
        <w:t>How Shor’s was analyzed for time &amp; space complexity</w:t>
      </w:r>
    </w:p>
    <w:p w:rsidR="00C50744" w:rsidRDefault="00C50744" w:rsidP="00C50744">
      <w:pPr>
        <w:pStyle w:val="ListParagraph"/>
        <w:numPr>
          <w:ilvl w:val="0"/>
          <w:numId w:val="2"/>
        </w:numPr>
      </w:pPr>
      <w:r>
        <w:t>Future Projections on qubit availability</w:t>
      </w:r>
    </w:p>
    <w:p w:rsidR="00C50744" w:rsidRDefault="00C50744" w:rsidP="00C50744">
      <w:r>
        <w:t>Introduction to Notation</w:t>
      </w:r>
    </w:p>
    <w:p w:rsidR="00C50744" w:rsidRDefault="00C50744" w:rsidP="00C50744">
      <w:pPr>
        <w:pStyle w:val="ListParagraph"/>
        <w:numPr>
          <w:ilvl w:val="0"/>
          <w:numId w:val="2"/>
        </w:numPr>
      </w:pPr>
      <w:r>
        <w:t>Dirac Notation for Quantum Computing</w:t>
      </w:r>
    </w:p>
    <w:p w:rsidR="00CC25A6" w:rsidRDefault="00CC25A6" w:rsidP="00CC25A6">
      <w:pPr>
        <w:pStyle w:val="ListParagraph"/>
        <w:numPr>
          <w:ilvl w:val="1"/>
          <w:numId w:val="2"/>
        </w:numPr>
      </w:pPr>
      <w:r>
        <w:t>Basis Set</w:t>
      </w:r>
    </w:p>
    <w:p w:rsidR="00CC25A6" w:rsidRDefault="00CC25A6" w:rsidP="00CC25A6">
      <w:pPr>
        <w:pStyle w:val="ListParagraph"/>
        <w:numPr>
          <w:ilvl w:val="1"/>
          <w:numId w:val="2"/>
        </w:numPr>
      </w:pPr>
      <w:r>
        <w:t>Cross Products</w:t>
      </w:r>
    </w:p>
    <w:p w:rsidR="00CC25A6" w:rsidRDefault="00CC25A6" w:rsidP="00CC25A6">
      <w:pPr>
        <w:pStyle w:val="ListParagraph"/>
        <w:numPr>
          <w:ilvl w:val="1"/>
          <w:numId w:val="2"/>
        </w:numPr>
      </w:pPr>
      <w:r>
        <w:t>Direct Products</w:t>
      </w:r>
    </w:p>
    <w:p w:rsidR="00CC25A6" w:rsidRDefault="00CC25A6" w:rsidP="00CC25A6">
      <w:pPr>
        <w:pStyle w:val="ListParagraph"/>
        <w:numPr>
          <w:ilvl w:val="1"/>
          <w:numId w:val="2"/>
        </w:numPr>
      </w:pPr>
      <w:r>
        <w:t>Direct Sums</w:t>
      </w:r>
    </w:p>
    <w:p w:rsidR="00C50744" w:rsidRDefault="00C50744" w:rsidP="00C50744">
      <w:pPr>
        <w:pStyle w:val="ListParagraph"/>
        <w:numPr>
          <w:ilvl w:val="0"/>
          <w:numId w:val="2"/>
        </w:numPr>
      </w:pPr>
      <w:r>
        <w:t>Quantum Gates and Circuits</w:t>
      </w:r>
    </w:p>
    <w:p w:rsidR="00CC25A6" w:rsidRDefault="00CC25A6" w:rsidP="005B0062">
      <w:pPr>
        <w:pStyle w:val="ListParagraph"/>
        <w:numPr>
          <w:ilvl w:val="1"/>
          <w:numId w:val="2"/>
        </w:numPr>
      </w:pPr>
      <w:r>
        <w:t>Pauli-X</w:t>
      </w:r>
    </w:p>
    <w:p w:rsidR="00CC25A6" w:rsidRDefault="00CC25A6" w:rsidP="00CC25A6">
      <w:pPr>
        <w:pStyle w:val="ListParagraph"/>
        <w:numPr>
          <w:ilvl w:val="1"/>
          <w:numId w:val="2"/>
        </w:numPr>
      </w:pPr>
      <w:r>
        <w:t>Hadamard</w:t>
      </w:r>
    </w:p>
    <w:p w:rsidR="00CC25A6" w:rsidRDefault="00CC25A6" w:rsidP="00CC25A6">
      <w:pPr>
        <w:pStyle w:val="ListParagraph"/>
        <w:numPr>
          <w:ilvl w:val="1"/>
          <w:numId w:val="2"/>
        </w:numPr>
      </w:pPr>
      <w:r>
        <w:t>Controlled</w:t>
      </w:r>
    </w:p>
    <w:p w:rsidR="00EF70E7" w:rsidRDefault="00E27E26" w:rsidP="00CC25A6">
      <w:pPr>
        <w:pStyle w:val="ListParagraph"/>
        <w:numPr>
          <w:ilvl w:val="1"/>
          <w:numId w:val="2"/>
        </w:numPr>
      </w:pPr>
      <w:r>
        <w:t>Interaction of Hadamard Bases on C-gates</w:t>
      </w:r>
      <w:bookmarkStart w:id="0" w:name="_GoBack"/>
      <w:bookmarkEnd w:id="0"/>
    </w:p>
    <w:p w:rsidR="00436131" w:rsidRDefault="00436131" w:rsidP="00CC25A6">
      <w:pPr>
        <w:pStyle w:val="ListParagraph"/>
        <w:numPr>
          <w:ilvl w:val="1"/>
          <w:numId w:val="2"/>
        </w:numPr>
      </w:pPr>
      <w:r>
        <w:t>Toffoli</w:t>
      </w:r>
    </w:p>
    <w:p w:rsidR="00436131" w:rsidRDefault="00436131" w:rsidP="00436131">
      <w:r>
        <w:t>Quantum Fourier Transform</w:t>
      </w:r>
    </w:p>
    <w:p w:rsidR="00436131" w:rsidRDefault="00436131" w:rsidP="00436131">
      <w:r>
        <w:lastRenderedPageBreak/>
        <w:t>Measurement</w:t>
      </w:r>
    </w:p>
    <w:p w:rsidR="00C50744" w:rsidRDefault="00C50744" w:rsidP="00C50744">
      <w:r>
        <w:t>Srinivasan et al. Brute-Force Algorithm for TSP</w:t>
      </w:r>
    </w:p>
    <w:p w:rsidR="00CC25A6" w:rsidRDefault="00CC25A6">
      <w:r>
        <w:t>Bang et al. Heuristic Algorithm for TSP</w:t>
      </w:r>
      <w:r>
        <w:br w:type="page"/>
      </w:r>
    </w:p>
    <w:p w:rsidR="00CC25A6" w:rsidRDefault="00CC25A6" w:rsidP="00C50744">
      <w:r>
        <w:lastRenderedPageBreak/>
        <w:t>INTRODUCTION TO NOTATION</w:t>
      </w:r>
    </w:p>
    <w:p w:rsidR="00CC25A6" w:rsidRDefault="003562A1" w:rsidP="00C50744">
      <w:pPr>
        <w:rPr>
          <w:rFonts w:eastAsiaTheme="minorEastAsia"/>
        </w:rPr>
      </w:pPr>
      <w:r>
        <w:rPr>
          <w:rFonts w:eastAsiaTheme="minorEastAsia"/>
        </w:rPr>
        <w:t xml:space="preserve">The state of a quantum computer is often represented with Dirac notation. The following ket-vectors: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and </m:t>
        </m:r>
        <m:d>
          <m:dPr>
            <m:begChr m:val=""/>
            <m:endChr m:val="⟩"/>
            <m:ctrlPr>
              <w:rPr>
                <w:rFonts w:ascii="Cambria Math" w:hAnsi="Cambria Math"/>
                <w:i/>
              </w:rPr>
            </m:ctrlPr>
          </m:dPr>
          <m:e>
            <m:r>
              <w:rPr>
                <w:rFonts w:ascii="Cambria Math" w:hAnsi="Cambria Math"/>
              </w:rPr>
              <m:t>|1</m:t>
            </m:r>
          </m:e>
        </m:d>
      </m:oMath>
      <w:r>
        <w:rPr>
          <w:rFonts w:eastAsiaTheme="minorEastAsia"/>
        </w:rPr>
        <w:t xml:space="preserve"> represent the 0 and 1 states (analogous to bits of 0 and 1 in a classical computer) of a single qubit within a quantum computing system. These states can be re-represented as vectors of the forms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 respectively.</w:t>
      </w:r>
    </w:p>
    <w:p w:rsidR="00A66446" w:rsidRDefault="003562A1" w:rsidP="00C50744">
      <w:pPr>
        <w:rPr>
          <w:rFonts w:eastAsiaTheme="minorEastAsia"/>
        </w:rPr>
      </w:pPr>
      <w:r>
        <w:rPr>
          <w:rFonts w:eastAsiaTheme="minorEastAsia"/>
        </w:rPr>
        <w:t>To expand the system for multiple qubits, one takes the direct product of all qubits within the system. For example, a two-qubit system</w:t>
      </w:r>
      <w:r w:rsidR="00A66446">
        <w:rPr>
          <w:rFonts w:eastAsiaTheme="minorEastAsia"/>
        </w:rPr>
        <w:t>, with both qubits in state 0 is expressed by the following:</w:t>
      </w:r>
    </w:p>
    <w:p w:rsidR="00A66446" w:rsidRPr="00A66446" w:rsidRDefault="00A66446" w:rsidP="00C50744">
      <w:pPr>
        <w:rPr>
          <w:rFonts w:eastAsiaTheme="minorEastAsia"/>
        </w:rPr>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 xml:space="preserve"> = </m:t>
          </m:r>
          <m:d>
            <m:dPr>
              <m:begChr m:val=""/>
              <m:endChr m:val="⟩"/>
              <m:ctrlPr>
                <w:rPr>
                  <w:rFonts w:ascii="Cambria Math" w:hAnsi="Cambria Math"/>
                  <w:i/>
                </w:rPr>
              </m:ctrlPr>
            </m:dPr>
            <m:e>
              <m:r>
                <w:rPr>
                  <w:rFonts w:ascii="Cambria Math" w:hAnsi="Cambria Math"/>
                </w:rPr>
                <m:t>|00</m:t>
              </m:r>
            </m:e>
          </m:d>
        </m:oMath>
      </m:oMathPara>
    </w:p>
    <w:p w:rsidR="00A66446" w:rsidRDefault="00A66446" w:rsidP="00C50744">
      <w:pPr>
        <w:rPr>
          <w:rFonts w:eastAsiaTheme="minorEastAsia"/>
        </w:rPr>
      </w:pPr>
      <w:r>
        <w:rPr>
          <w:rFonts w:eastAsiaTheme="minorEastAsia"/>
        </w:rPr>
        <w:t>and in vector format:</w:t>
      </w:r>
    </w:p>
    <w:p w:rsidR="00A66446" w:rsidRDefault="00A66446" w:rsidP="00A66446">
      <w:pPr>
        <w:jc w:val="center"/>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m:rPr>
            <m:sty m:val="p"/>
          </m:rPr>
          <w:rPr>
            <w:rFonts w:ascii="Cambria Math" w:eastAsiaTheme="minorEastAsia" w:hAnsi="Cambria Math"/>
          </w:rPr>
          <m:t xml:space="preserve"> </m:t>
        </m:r>
        <m:r>
          <m:rPr>
            <m:sty m:val="p"/>
          </m:rPr>
          <w:rPr>
            <w:rFonts w:ascii="Cambria Math" w:eastAsiaTheme="minorEastAsia"/>
          </w:rPr>
          <m:t xml:space="preserve">= </m:t>
        </m:r>
        <m:d>
          <m:dPr>
            <m:begChr m:val="["/>
            <m:endChr m:val="]"/>
            <m:ctrlPr>
              <w:rPr>
                <w:rFonts w:ascii="Cambria Math" w:eastAsiaTheme="minorEastAsia"/>
              </w:rPr>
            </m:ctrlPr>
          </m:dPr>
          <m:e>
            <m:m>
              <m:mPr>
                <m:mcs>
                  <m:mc>
                    <m:mcPr>
                      <m:count m:val="1"/>
                      <m:mcJc m:val="center"/>
                    </m:mcPr>
                  </m:mc>
                </m:mcs>
                <m:ctrlPr>
                  <w:rPr>
                    <w:rFonts w:ascii="Cambria Math" w:eastAsiaTheme="minorEastAsia"/>
                  </w:rPr>
                </m:ctrlPr>
              </m:mPr>
              <m:mr>
                <m:e>
                  <m:r>
                    <w:rPr>
                      <w:rFonts w:ascii="Cambria Math" w:eastAsiaTheme="minorEastAsia"/>
                    </w:rPr>
                    <m:t>1</m:t>
                  </m:r>
                </m:e>
              </m:mr>
              <m:mr>
                <m:e>
                  <m:r>
                    <w:rPr>
                      <w:rFonts w:ascii="Cambria Math" w:eastAsiaTheme="minorEastAsia"/>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 xml:space="preserve"> </m:t>
        </m:r>
      </m:oMath>
      <w:r>
        <w:rPr>
          <w:rFonts w:eastAsiaTheme="minorEastAsia"/>
        </w:rPr>
        <w:t>.</w:t>
      </w:r>
    </w:p>
    <w:p w:rsidR="00BF4FB9" w:rsidRDefault="00A66446" w:rsidP="00A66446">
      <w:pPr>
        <w:rPr>
          <w:rFonts w:eastAsiaTheme="minorEastAsia"/>
        </w:rPr>
      </w:pPr>
      <w:r>
        <w:rPr>
          <w:rFonts w:eastAsiaTheme="minorEastAsia"/>
        </w:rPr>
        <w:t>The associated bra-vector, or co-vector, for each state (</w:t>
      </w: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1</m:t>
                </m:r>
              </m:e>
            </m:d>
          </m:e>
        </m:d>
      </m:oMath>
      <w:r>
        <w:rPr>
          <w:rFonts w:eastAsiaTheme="minorEastAsia"/>
        </w:rPr>
        <w:t>) is given as the transpose, row-vector, of the state with</w:t>
      </w:r>
      <w:r w:rsidR="00BF4FB9">
        <w:rPr>
          <w:rFonts w:eastAsiaTheme="minorEastAsia"/>
        </w:rPr>
        <w:t xml:space="preserve"> the complex-conjugate taken for each element. Therefore, we show the following: </w:t>
      </w:r>
      <m:oMath>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as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as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oMath>
      <w:r w:rsidR="00BF4FB9">
        <w:rPr>
          <w:rFonts w:eastAsiaTheme="minorEastAsia"/>
        </w:rPr>
        <w:t>.</w:t>
      </w:r>
    </w:p>
    <w:p w:rsidR="00BF4FB9" w:rsidRDefault="00BF4FB9" w:rsidP="00A66446">
      <w:pPr>
        <w:rPr>
          <w:rFonts w:eastAsiaTheme="minorEastAsia"/>
        </w:rPr>
      </w:pPr>
      <w:r>
        <w:rPr>
          <w:rFonts w:eastAsiaTheme="minorEastAsia"/>
        </w:rPr>
        <w:t>Dirac notation typically omits the operator symbols when operating on two states</w:t>
      </w:r>
      <w:r w:rsidR="00655376">
        <w:rPr>
          <w:rFonts w:eastAsiaTheme="minorEastAsia"/>
        </w:rPr>
        <w:t xml:space="preserve"> within an equation. For clarification, we look at the three combinations of two states:</w:t>
      </w:r>
    </w:p>
    <w:p w:rsidR="00655376" w:rsidRPr="00C707B5" w:rsidRDefault="00655376"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oMath>
      <w:r w:rsidRPr="00C707B5">
        <w:rPr>
          <w:rFonts w:eastAsiaTheme="minorEastAsia"/>
        </w:rPr>
        <w:t xml:space="preserve"> implies direct product, as shown above;</w:t>
      </w:r>
    </w:p>
    <w:p w:rsidR="00655376" w:rsidRPr="00C707B5" w:rsidRDefault="00655376"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oMath>
      <w:r w:rsidRPr="00C707B5">
        <w:rPr>
          <w:rFonts w:eastAsiaTheme="minorEastAsia"/>
        </w:rPr>
        <w:t xml:space="preserve"> implies scalar product, such that: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=1</m:t>
        </m:r>
      </m:oMath>
      <w:r w:rsidRPr="00C707B5">
        <w:rPr>
          <w:rFonts w:eastAsiaTheme="minorEastAsia"/>
        </w:rPr>
        <w:t>;</w:t>
      </w:r>
    </w:p>
    <w:p w:rsidR="00655376" w:rsidRPr="00C707B5" w:rsidRDefault="00655376" w:rsidP="00C707B5">
      <w:pPr>
        <w:pStyle w:val="ListParagraph"/>
        <w:numPr>
          <w:ilvl w:val="0"/>
          <w:numId w:val="4"/>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e>
        </m:d>
      </m:oMath>
      <w:r w:rsidRPr="00C707B5">
        <w:rPr>
          <w:rFonts w:eastAsiaTheme="minorEastAsia"/>
        </w:rPr>
        <w:t xml:space="preserve"> implies cross product, such that: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Pr="00C707B5">
        <w:rPr>
          <w:rFonts w:eastAsiaTheme="minorEastAsia"/>
        </w:rPr>
        <w:t>.</w:t>
      </w:r>
    </w:p>
    <w:p w:rsidR="00C707B5" w:rsidRDefault="00C707B5" w:rsidP="00A66446">
      <w:pPr>
        <w:rPr>
          <w:rFonts w:eastAsiaTheme="minorEastAsia"/>
        </w:rPr>
      </w:pPr>
    </w:p>
    <w:p w:rsidR="00655376" w:rsidRDefault="00C707B5" w:rsidP="00A66446">
      <w:pPr>
        <w:rPr>
          <w:rFonts w:eastAsiaTheme="minorEastAsia"/>
        </w:rPr>
      </w:pPr>
      <w:r>
        <w:rPr>
          <w:rFonts w:eastAsiaTheme="minorEastAsia"/>
        </w:rPr>
        <w:t>QUBIT STATE</w:t>
      </w:r>
    </w:p>
    <w:p w:rsidR="009E7492" w:rsidRDefault="009E7492" w:rsidP="00A66446">
      <w:pPr>
        <w:rPr>
          <w:rFonts w:eastAsiaTheme="minorEastAsia"/>
        </w:rPr>
      </w:pPr>
      <w:r>
        <w:rPr>
          <w:rFonts w:eastAsiaTheme="minorEastAsia"/>
        </w:rPr>
        <w:t xml:space="preserve">Because a qubit does not exist discretely in the states of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oMath>
      <w:r>
        <w:rPr>
          <w:rFonts w:eastAsiaTheme="minorEastAsia"/>
        </w:rPr>
        <w:t xml:space="preserve">or </w:t>
      </w:r>
      <m:oMath>
        <m:d>
          <m:dPr>
            <m:begChr m:val=""/>
            <m:endChr m:val="⟩"/>
            <m:ctrlPr>
              <w:rPr>
                <w:rFonts w:ascii="Cambria Math" w:hAnsi="Cambria Math"/>
                <w:i/>
              </w:rPr>
            </m:ctrlPr>
          </m:dPr>
          <m:e>
            <m:r>
              <w:rPr>
                <w:rFonts w:ascii="Cambria Math" w:hAnsi="Cambria Math"/>
              </w:rPr>
              <m:t>|1</m:t>
            </m:r>
          </m:e>
        </m:d>
      </m:oMath>
      <w:r>
        <w:rPr>
          <w:rFonts w:eastAsiaTheme="minorEastAsia"/>
        </w:rPr>
        <w:t xml:space="preserve">, we must find the probability that the qubit will be measured in either state. The probabilities are given by complex coefficients operating on either state, typically denoted </w:t>
      </w:r>
      <w:r>
        <w:rPr>
          <w:rFonts w:eastAsiaTheme="minorEastAsia" w:cstheme="minorHAnsi"/>
        </w:rPr>
        <w:t>α</w:t>
      </w:r>
      <w:r>
        <w:rPr>
          <w:rFonts w:eastAsiaTheme="minorEastAsia"/>
        </w:rPr>
        <w:t xml:space="preserve"> and </w:t>
      </w:r>
      <w:r>
        <w:rPr>
          <w:rFonts w:eastAsiaTheme="minorEastAsia" w:cstheme="minorHAnsi"/>
        </w:rPr>
        <w:t>β</w:t>
      </w:r>
      <w:r>
        <w:rPr>
          <w:rFonts w:eastAsiaTheme="minorEastAsia"/>
        </w:rPr>
        <w:t xml:space="preserve"> as scalars for the states </w:t>
      </w:r>
      <m:oMath>
        <m:d>
          <m:dPr>
            <m:begChr m:val=""/>
            <m:endChr m:val="⟩"/>
            <m:ctrlPr>
              <w:rPr>
                <w:rFonts w:ascii="Cambria Math" w:hAnsi="Cambria Math"/>
                <w:i/>
              </w:rPr>
            </m:ctrlPr>
          </m:dPr>
          <m:e>
            <m:r>
              <w:rPr>
                <w:rFonts w:ascii="Cambria Math" w:hAnsi="Cambria Math"/>
              </w:rPr>
              <m:t>|0</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|1</m:t>
            </m:r>
          </m:e>
        </m:d>
      </m:oMath>
      <w:r>
        <w:rPr>
          <w:rFonts w:eastAsiaTheme="minorEastAsia"/>
        </w:rPr>
        <w:t>, respectively. Thus, we can describe the overall state of a single qubit given:</w:t>
      </w:r>
    </w:p>
    <w:p w:rsidR="009E7492" w:rsidRPr="009E7492" w:rsidRDefault="009E7492" w:rsidP="00C707B5">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 α</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β</m:t>
        </m:r>
        <m:d>
          <m:dPr>
            <m:begChr m:val=""/>
            <m:endChr m:val="⟩"/>
            <m:ctrlPr>
              <w:rPr>
                <w:rFonts w:ascii="Cambria Math" w:eastAsiaTheme="minorEastAsia" w:hAnsi="Cambria Math"/>
                <w:i/>
              </w:rPr>
            </m:ctrlPr>
          </m:dPr>
          <m:e>
            <m:r>
              <w:rPr>
                <w:rFonts w:ascii="Cambria Math" w:eastAsiaTheme="minorEastAsia" w:hAnsi="Cambria Math"/>
              </w:rPr>
              <m:t>|1</m:t>
            </m:r>
          </m:e>
        </m:d>
      </m:oMath>
      <w:r w:rsidR="00C707B5">
        <w:rPr>
          <w:rFonts w:eastAsiaTheme="minorEastAsia"/>
        </w:rPr>
        <w:t>.</w:t>
      </w:r>
    </w:p>
    <w:p w:rsidR="00BF4FB9" w:rsidRDefault="00C707B5" w:rsidP="00A66446">
      <w:pPr>
        <w:rPr>
          <w:rFonts w:eastAsiaTheme="minorEastAsia"/>
        </w:rPr>
      </w:pPr>
      <w:r>
        <w:rPr>
          <w:rFonts w:eastAsiaTheme="minorEastAsia"/>
        </w:rPr>
        <w:t xml:space="preserve">We find the probability amplitudes that a qubit is measured as a 0 or 1 given the probability amplitudes of these coefficients: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 xml:space="preserve"> and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 xml:space="preserve">, where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α</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β</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fldChar w:fldCharType="begin"/>
      </w:r>
      <w:r>
        <w:rPr>
          <w:rFonts w:eastAsiaTheme="minorEastAsia"/>
        </w:rPr>
        <w:instrText xml:space="preserve"> ADDIN ZOTERO_ITEM CSL_CITATION {"citationID":"eUXqSq4R","properties":{"formattedCitation":"[1]","plainCitation":"[1]","noteIndex":0},"citationItems":[{"id":176,"uris":["http://zotero.org/groups/2336266/items/VUXYVMXM"],"uri":["http://zotero.org/groups/2336266/items/VUXYVMXM"],"itemData":{"id":176,"type":"webpage","title":"Quantum computing at Microsoft","URL":"https://blogs.msdn.microsoft.com/uk_faculty_connection/2018/02/06/introduction-to-quantum-computing/","accessed":{"date-parts":[["2019",6,25]]}}}],"schema":"https://github.com/citation-style-language/schema/raw/master/csl-citation.json"} </w:instrText>
      </w:r>
      <w:r>
        <w:rPr>
          <w:rFonts w:eastAsiaTheme="minorEastAsia"/>
        </w:rPr>
        <w:fldChar w:fldCharType="separate"/>
      </w:r>
      <w:r w:rsidRPr="00C707B5">
        <w:rPr>
          <w:rFonts w:ascii="Calibri" w:hAnsi="Calibri" w:cs="Calibri"/>
        </w:rPr>
        <w:t>[1]</w:t>
      </w:r>
      <w:r>
        <w:rPr>
          <w:rFonts w:eastAsiaTheme="minorEastAsia"/>
        </w:rPr>
        <w:fldChar w:fldCharType="end"/>
      </w:r>
      <w:r>
        <w:rPr>
          <w:rFonts w:eastAsiaTheme="minorEastAsia"/>
        </w:rPr>
        <w:t>.</w:t>
      </w:r>
    </w:p>
    <w:p w:rsidR="00C707B5" w:rsidRDefault="00C707B5" w:rsidP="00A66446">
      <w:pPr>
        <w:rPr>
          <w:rFonts w:eastAsiaTheme="minorEastAsia"/>
        </w:rPr>
      </w:pPr>
    </w:p>
    <w:p w:rsidR="00C707B5" w:rsidRDefault="00C707B5" w:rsidP="00A66446">
      <w:pPr>
        <w:rPr>
          <w:rFonts w:eastAsiaTheme="minorEastAsia"/>
        </w:rPr>
      </w:pPr>
      <w:r>
        <w:rPr>
          <w:rFonts w:eastAsiaTheme="minorEastAsia"/>
        </w:rPr>
        <w:t>QUANTUM GATES</w:t>
      </w:r>
    </w:p>
    <w:p w:rsidR="002F538A" w:rsidRDefault="002F538A" w:rsidP="002F538A">
      <w:pPr>
        <w:rPr>
          <w:rFonts w:eastAsiaTheme="minorEastAsia"/>
        </w:rPr>
      </w:pPr>
      <w:r>
        <w:rPr>
          <w:rFonts w:eastAsiaTheme="minorEastAsia"/>
        </w:rPr>
        <w:t>Hadamard Gate</w:t>
      </w:r>
    </w:p>
    <w:p w:rsidR="002F538A" w:rsidRDefault="002F538A" w:rsidP="002F538A">
      <w:pPr>
        <w:rPr>
          <w:rFonts w:eastAsiaTheme="minorEastAsia"/>
        </w:rPr>
      </w:pPr>
      <w:r>
        <w:rPr>
          <w:rFonts w:eastAsiaTheme="minorEastAsia"/>
        </w:rPr>
        <w:lastRenderedPageBreak/>
        <w:t xml:space="preserve">The Hadamard gate acts to superpose the state of a qubit, giving equal probability that the qubit is measured as either 0 or 1 </w:t>
      </w:r>
      <w:r w:rsidRPr="002F538A">
        <w:rPr>
          <w:rFonts w:ascii="Calibri" w:eastAsiaTheme="minorEastAsia" w:hAnsi="Calibri" w:cs="Calibri"/>
        </w:rPr>
        <w:t>[2]</w:t>
      </w:r>
      <w:r>
        <w:rPr>
          <w:rFonts w:ascii="Calibri" w:eastAsiaTheme="minorEastAsia" w:hAnsi="Calibri" w:cs="Calibri"/>
        </w:rPr>
        <w:t>.</w:t>
      </w:r>
    </w:p>
    <w:p w:rsidR="002F538A" w:rsidRDefault="002F538A" w:rsidP="002F538A">
      <w:pPr>
        <w:rPr>
          <w:rFonts w:eastAsiaTheme="minorEastAsia"/>
        </w:rPr>
      </w:pPr>
      <w:r>
        <w:rPr>
          <w:rFonts w:eastAsiaTheme="minorEastAsia"/>
        </w:rPr>
        <w:t xml:space="preserve">Hadamard Gate: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When applied to a qubit of either the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or </w:t>
      </w:r>
      <m:oMath>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basis vectors:</w:t>
      </w:r>
    </w:p>
    <w:p w:rsidR="002F538A" w:rsidRPr="002F538A" w:rsidRDefault="002F538A" w:rsidP="00FD7791">
      <w:pPr>
        <w:jc w:val="center"/>
        <w:rPr>
          <w:rFonts w:eastAsiaTheme="minorEastAsia"/>
        </w:rPr>
      </w:pP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w:t>
      </w:r>
    </w:p>
    <w:p w:rsidR="002F538A" w:rsidRDefault="002F538A" w:rsidP="002F538A">
      <w:pPr>
        <w:jc w:val="center"/>
        <w:rPr>
          <w:rFonts w:eastAsiaTheme="minorEastAsia"/>
        </w:rPr>
      </w:pP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w:t>
      </w:r>
    </w:p>
    <w:p w:rsidR="0065434E" w:rsidRDefault="00EF70E7" w:rsidP="0065434E">
      <w:pPr>
        <w:rPr>
          <w:rFonts w:eastAsiaTheme="minorEastAsia"/>
        </w:rPr>
      </w:pPr>
      <w:r>
        <w:rPr>
          <w:rFonts w:eastAsiaTheme="minorEastAsia"/>
        </w:rPr>
        <w:t>Likewise, we can refer to the superposed state produced as</w:t>
      </w:r>
      <w:r w:rsidR="0065434E">
        <w:rPr>
          <w:rFonts w:eastAsiaTheme="minorEastAsia"/>
        </w:rPr>
        <w:t xml:space="preserve"> the Hadamard basis vectors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5434E">
        <w:rPr>
          <w:rFonts w:eastAsiaTheme="minorEastAsia"/>
        </w:rPr>
        <w:t xml:space="preserve">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5434E">
        <w:rPr>
          <w:rFonts w:eastAsiaTheme="minorEastAsia"/>
        </w:rPr>
        <w:t>:</w:t>
      </w:r>
    </w:p>
    <w:p w:rsidR="0065434E" w:rsidRPr="0065434E" w:rsidRDefault="0065434E" w:rsidP="0065434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m:oMathPara>
    </w:p>
    <w:p w:rsidR="0065434E" w:rsidRDefault="0065434E" w:rsidP="0065434E">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beg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m:t>
                  </m:r>
                </m:e>
              </m:d>
            </m:e>
          </m:d>
          <m:r>
            <w:rPr>
              <w:rFonts w:ascii="Cambria Math" w:eastAsiaTheme="minorEastAsia" w:hAnsi="Cambria Math"/>
            </w:rPr>
            <m:t>.</m:t>
          </m:r>
        </m:oMath>
      </m:oMathPara>
    </w:p>
    <w:p w:rsidR="00C707B5" w:rsidRDefault="00FA7AF0" w:rsidP="00A66446">
      <w:pPr>
        <w:rPr>
          <w:rFonts w:eastAsiaTheme="minorEastAsia"/>
        </w:rPr>
      </w:pPr>
      <w:r>
        <w:rPr>
          <w:rFonts w:eastAsiaTheme="minorEastAsia"/>
        </w:rPr>
        <w:t>Pauli-X Gate</w:t>
      </w:r>
    </w:p>
    <w:p w:rsidR="00623AB0" w:rsidRDefault="00623AB0" w:rsidP="00A66446">
      <w:pPr>
        <w:rPr>
          <w:rFonts w:eastAsiaTheme="minorEastAsia"/>
        </w:rPr>
      </w:pPr>
      <w:r>
        <w:rPr>
          <w:rFonts w:eastAsiaTheme="minorEastAsia"/>
        </w:rPr>
        <w:t xml:space="preserve">The Pauli-X gate is the equivalent of a not-gate in classical computers, and acts to invert the values of the </w:t>
      </w:r>
      <m:oMath>
        <m:d>
          <m:dPr>
            <m:begChr m:val=""/>
            <m:end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states on a single qubit. This gate is represented by the Pauli-X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w:t>
      </w:r>
    </w:p>
    <w:p w:rsidR="00623AB0" w:rsidRDefault="00623AB0" w:rsidP="00A66446">
      <w:pPr>
        <w:rPr>
          <w:rFonts w:eastAsiaTheme="minorEastAsia"/>
        </w:rPr>
      </w:pPr>
      <w:r>
        <w:rPr>
          <w:rFonts w:eastAsiaTheme="minorEastAsia"/>
        </w:rPr>
        <w:t xml:space="preserve">It is the case then that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sidR="00EB2276">
        <w:rPr>
          <w:rFonts w:eastAsiaTheme="minorEastAsia"/>
        </w:rPr>
        <w:t>.</w:t>
      </w:r>
    </w:p>
    <w:p w:rsidR="00EB2276" w:rsidRDefault="00EB2276" w:rsidP="00A66446">
      <w:pPr>
        <w:rPr>
          <w:rFonts w:eastAsiaTheme="minorEastAsia"/>
        </w:rPr>
      </w:pPr>
    </w:p>
    <w:p w:rsidR="002F538A" w:rsidRDefault="002F538A" w:rsidP="002F538A">
      <w:pPr>
        <w:rPr>
          <w:rFonts w:eastAsiaTheme="minorEastAsia"/>
        </w:rPr>
      </w:pPr>
      <w:r>
        <w:rPr>
          <w:rFonts w:eastAsiaTheme="minorEastAsia"/>
        </w:rPr>
        <w:t>Controlled Gates</w:t>
      </w:r>
    </w:p>
    <w:p w:rsidR="00F6162B" w:rsidRPr="00EB55B8" w:rsidRDefault="00F6162B" w:rsidP="002F538A">
      <w:pPr>
        <w:rPr>
          <w:rFonts w:eastAsiaTheme="minorEastAsia"/>
        </w:rPr>
      </w:pPr>
      <w:r>
        <w:rPr>
          <w:rFonts w:eastAsiaTheme="minorEastAsia"/>
        </w:rPr>
        <w:t xml:space="preserve">Controlled gates require two qubits wherein 1 of the qubits acts as the control, while the other is being acted upon. </w:t>
      </w:r>
      <w:r w:rsidR="00EB55B8">
        <w:rPr>
          <w:rFonts w:eastAsiaTheme="minorEastAsia"/>
        </w:rPr>
        <w:t xml:space="preserve">A Controlled gate is notated as </w:t>
      </w:r>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oMath>
      <w:r w:rsidR="00EB55B8">
        <w:rPr>
          <w:rFonts w:eastAsiaTheme="minorEastAsia"/>
        </w:rPr>
        <w:t xml:space="preserve">, where </w:t>
      </w:r>
      <m:oMath>
        <m:r>
          <m:rPr>
            <m:scr m:val="double-struck"/>
          </m:rPr>
          <w:rPr>
            <w:rFonts w:ascii="Cambria Math" w:eastAsiaTheme="minorEastAsia" w:hAnsi="Cambria Math"/>
          </w:rPr>
          <m:t>G</m:t>
        </m:r>
      </m:oMath>
      <w:r w:rsidR="00EB55B8">
        <w:rPr>
          <w:rFonts w:eastAsiaTheme="minorEastAsia"/>
        </w:rPr>
        <w:t xml:space="preserve"> is the gate to be controlled </w:t>
      </w:r>
      <w:r w:rsidR="00EB55B8">
        <w:rPr>
          <w:rFonts w:eastAsiaTheme="minorEastAsia"/>
        </w:rPr>
        <w:fldChar w:fldCharType="begin"/>
      </w:r>
      <w:r w:rsidR="00EB55B8">
        <w:rPr>
          <w:rFonts w:eastAsiaTheme="minorEastAsia"/>
        </w:rPr>
        <w:instrText xml:space="preserve"> ADDIN ZOTERO_ITEM CSL_CITATION {"citationID":"QnzGaD8m","properties":{"formattedCitation":"[2]","plainCitation":"[2]","noteIndex":0},"citationItems":[{"id":139,"uris":["http://zotero.org/groups/2336266/items/DB63BE9Y"],"uri":["http://zotero.org/groups/2336266/items/DB63BE9Y"],"itemData":{"id":139,"type":"webpage","title":"Caltech Physics 219/Computer Science 219 Quantum Computation","genre":"Lecture notes","abstract":"The theory of quantum information and quantum computation. Overview of classical information theory, compression of quantum information, transmission of quantum information through noisy channels, quantum entanglement, quantum cryptography. Overview of classical complexity theory, quantum complexity, efficient quantum algorithms, quantum error-correcting codes, fault-tolerant quantum computation, physical implementations of quantum computation.","URL":"http://www.theory.caltech.edu/%7Epreskill/ph219/index.html#lecture","author":[{"family":"Preskill","given":"John"}],"issued":{"date-parts":[["2013"]]},"accessed":{"date-parts":[["2019",6,22]]}}}],"schema":"https://github.com/citation-style-language/schema/raw/master/csl-citation.json"} </w:instrText>
      </w:r>
      <w:r w:rsidR="00EB55B8">
        <w:rPr>
          <w:rFonts w:eastAsiaTheme="minorEastAsia"/>
        </w:rPr>
        <w:fldChar w:fldCharType="separate"/>
      </w:r>
      <w:r w:rsidR="00EB55B8" w:rsidRPr="00EB55B8">
        <w:rPr>
          <w:rFonts w:ascii="Calibri" w:hAnsi="Calibri" w:cs="Calibri"/>
        </w:rPr>
        <w:t>[2]</w:t>
      </w:r>
      <w:r w:rsidR="00EB55B8">
        <w:rPr>
          <w:rFonts w:eastAsiaTheme="minorEastAsia"/>
        </w:rPr>
        <w:fldChar w:fldCharType="end"/>
      </w:r>
      <w:r w:rsidR="00EB55B8">
        <w:rPr>
          <w:rFonts w:eastAsiaTheme="minorEastAsia"/>
        </w:rPr>
        <w:t xml:space="preserve">. </w:t>
      </w:r>
      <w:r>
        <w:rPr>
          <w:rFonts w:eastAsiaTheme="minorEastAsia"/>
        </w:rPr>
        <w:t>In its generalized form</w:t>
      </w:r>
      <w:r w:rsidR="007B3A7C">
        <w:rPr>
          <w:rFonts w:eastAsiaTheme="minorEastAsia"/>
        </w:rPr>
        <w:t xml:space="preserve">, a controlled gate is constructed as: </w:t>
      </w:r>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m:t>
            </m:r>
          </m:e>
        </m:d>
        <m:d>
          <m:dPr>
            <m:begChr m:val="⟨"/>
            <m:endChr m:val=""/>
            <m:ctrlPr>
              <w:rPr>
                <w:rFonts w:ascii="Cambria Math" w:eastAsiaTheme="minorEastAsia" w:hAnsi="Cambria Math"/>
                <w:i/>
              </w:rPr>
            </m:ctrlPr>
          </m:dPr>
          <m:e>
            <m:r>
              <w:rPr>
                <w:rFonts w:ascii="Cambria Math" w:eastAsiaTheme="minorEastAsia" w:hAnsi="Cambria Math"/>
              </w:rPr>
              <m:t>0|⊗</m:t>
            </m:r>
            <m:r>
              <m:rPr>
                <m:scr m:val="double-struck"/>
              </m:rPr>
              <w:rPr>
                <w:rFonts w:ascii="Cambria Math" w:eastAsiaTheme="minorEastAsia" w:hAnsi="Cambria Math"/>
              </w:rPr>
              <m:t xml:space="preserve">I+ </m:t>
            </m:r>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1|⊗</m:t>
                </m:r>
                <m:r>
                  <m:rPr>
                    <m:scr m:val="double-struck"/>
                  </m:rPr>
                  <w:rPr>
                    <w:rFonts w:ascii="Cambria Math" w:eastAsiaTheme="minorEastAsia" w:hAnsi="Cambria Math"/>
                  </w:rPr>
                  <m:t>G</m:t>
                </m:r>
              </m:e>
            </m:d>
          </m:e>
        </m:d>
      </m:oMath>
      <w:r w:rsidR="007B3A7C">
        <w:rPr>
          <w:rFonts w:eastAsiaTheme="minorEastAsia"/>
        </w:rPr>
        <w:t xml:space="preserve"> </w:t>
      </w:r>
      <w:r w:rsidR="007B3A7C">
        <w:rPr>
          <w:rFonts w:eastAsiaTheme="minorEastAsia"/>
        </w:rPr>
        <w:fldChar w:fldCharType="begin"/>
      </w:r>
      <w:r w:rsidR="007B3A7C">
        <w:rPr>
          <w:rFonts w:eastAsiaTheme="minorEastAsia"/>
        </w:rPr>
        <w:instrText xml:space="preserve"> ADDIN ZOTERO_ITEM CSL_CITATION {"citationID":"YkWOYTOx","properties":{"formattedCitation":"[3]","plainCitation":"[3]","noteIndex":0},"citationItems":[{"id":189,"uris":["http://zotero.org/users/5777939/items/2LMN9MZ2"],"uri":["http://zotero.org/users/5777939/items/2LMN9MZ2"],"itemData":{"id":189,"type":"book","title":"Quantum Computing: A Gentle Introduction","publisher":"MIT Press","number-of-pages":"389","source":"Google Books","abstract":"The combination of two of the twentieth century's most influential and revolutionary scientific theories, information theory and quantum mechanics, gave rise to a radically new view of computing and information. Quantum information processing explores the implications of using quantum mechanics instead of classical mechanics to model information and its processing. Quantum computing is not about changing the physical substrate on which computation is done from classical to quantum but about changing the notion of computation itself, at the most basic level. The fundamental unit of computation is no longer the bit but the quantum bit or qubit. This comprehensive introduction to the field offers a thorough exposition of quantum computing and the underlying concepts of quantum physics, explaining all the relevant mathematics and offering numerous examples. With its careful development of concepts and thorough explanations, the book makes quantum computing accessible to students and professionals in mathematics, computer science, and engineering. A reader with no prior knowledge of quantum physics (but with sufficient knowledge of linear algebra) will be able to gain a fluent understanding by working through the book.","ISBN":"978-0-262-01506-6","note":"Google-Books-ID: iYX6AQAAQBAJ","title-short":"Quantum Computing","language":"en","author":[{"family":"Rieffel","given":"Eleanor G."},{"family":"Polak","given":"Wolfgang H."}],"issued":{"date-parts":[["2011",3,4]]}}}],"schema":"https://github.com/citation-style-language/schema/raw/master/csl-citation.json"} </w:instrText>
      </w:r>
      <w:r w:rsidR="007B3A7C">
        <w:rPr>
          <w:rFonts w:eastAsiaTheme="minorEastAsia"/>
        </w:rPr>
        <w:fldChar w:fldCharType="separate"/>
      </w:r>
      <w:r w:rsidR="007B3A7C" w:rsidRPr="007B3A7C">
        <w:rPr>
          <w:rFonts w:ascii="Calibri" w:hAnsi="Calibri" w:cs="Calibri"/>
        </w:rPr>
        <w:t>[3]</w:t>
      </w:r>
      <w:r w:rsidR="007B3A7C">
        <w:rPr>
          <w:rFonts w:eastAsiaTheme="minorEastAsia"/>
        </w:rPr>
        <w:fldChar w:fldCharType="end"/>
      </w:r>
      <w:r w:rsidR="007B3A7C">
        <w:rPr>
          <w:rFonts w:eastAsiaTheme="minorEastAsia"/>
        </w:rPr>
        <w:t>.</w:t>
      </w:r>
    </w:p>
    <w:p w:rsidR="002F538A" w:rsidRPr="00F6162B" w:rsidRDefault="00EB55B8" w:rsidP="00F6162B">
      <w:pPr>
        <w:jc w:val="cente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m:rPr>
                  <m:scr m:val="double-struck"/>
                </m:rP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12</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cr m:val="double-struck"/>
                          </m:rPr>
                          <w:rPr>
                            <w:rFonts w:ascii="Cambria Math" w:eastAsiaTheme="minorEastAsia" w:hAnsi="Cambria Math"/>
                          </w:rPr>
                          <m:t>G</m:t>
                        </m:r>
                      </m:e>
                      <m:sub>
                        <m:r>
                          <w:rPr>
                            <w:rFonts w:ascii="Cambria Math" w:eastAsia="Cambria Math" w:hAnsi="Cambria Math" w:cs="Cambria Math"/>
                          </w:rPr>
                          <m:t>22</m:t>
                        </m:r>
                      </m:sub>
                    </m:sSub>
                  </m:e>
                </m:mr>
              </m:m>
            </m:e>
          </m:d>
        </m:oMath>
      </m:oMathPara>
    </w:p>
    <w:p w:rsidR="00A718CA" w:rsidRDefault="00F6162B" w:rsidP="00F6162B">
      <w:pPr>
        <w:rPr>
          <w:rFonts w:eastAsiaTheme="minorEastAsia"/>
        </w:rPr>
      </w:pPr>
      <w:r>
        <w:rPr>
          <w:rFonts w:eastAsiaTheme="minorEastAsia"/>
        </w:rPr>
        <w:t>The effect is that the controlled gate only acts on the 2</w:t>
      </w:r>
      <w:r w:rsidRPr="00F6162B">
        <w:rPr>
          <w:rFonts w:eastAsiaTheme="minorEastAsia"/>
          <w:vertAlign w:val="superscript"/>
        </w:rPr>
        <w:t>nd</w:t>
      </w:r>
      <w:r>
        <w:rPr>
          <w:rFonts w:eastAsiaTheme="minorEastAsia"/>
        </w:rPr>
        <w:t xml:space="preserve"> qubit if the </w:t>
      </w:r>
      <w:r w:rsidR="00A718CA">
        <w:rPr>
          <w:rFonts w:eastAsiaTheme="minorEastAsia"/>
        </w:rPr>
        <w:t>control qubit’s state is 1, and has no effect if the control qubit’s state is 0.</w:t>
      </w:r>
    </w:p>
    <w:p w:rsidR="00A718CA" w:rsidRDefault="00A718CA" w:rsidP="00F6162B">
      <w:pPr>
        <w:rPr>
          <w:rFonts w:eastAsiaTheme="minorEastAsia"/>
        </w:rPr>
      </w:pPr>
      <w:r>
        <w:rPr>
          <w:rFonts w:eastAsiaTheme="minorEastAsia"/>
        </w:rPr>
        <w:t>The Controlled-Not gate (CNOT</w:t>
      </w:r>
      <w:r w:rsidR="00EB55B8">
        <w:rPr>
          <w:rFonts w:eastAsiaTheme="minorEastAsia"/>
        </w:rPr>
        <w:t xml:space="preserve"> or </w:t>
      </w:r>
      <m:oMath>
        <m:r>
          <m:rPr>
            <m:sty m:val="p"/>
          </m:rPr>
          <w:rPr>
            <w:rFonts w:ascii="Cambria Math" w:eastAsiaTheme="minorEastAsia" w:hAnsi="Cambria Math"/>
          </w:rPr>
          <m:t>Λ</m:t>
        </m:r>
        <m:r>
          <w:rPr>
            <w:rFonts w:ascii="Cambria Math" w:eastAsiaTheme="minorEastAsia" w:hAnsi="Cambria Math"/>
          </w:rPr>
          <m:t>(X)</m:t>
        </m:r>
      </m:oMath>
      <w:r>
        <w:rPr>
          <w:rFonts w:eastAsiaTheme="minorEastAsia"/>
        </w:rPr>
        <w:t>) then takes the form:</w:t>
      </w:r>
    </w:p>
    <w:p w:rsidR="00A718CA" w:rsidRDefault="00EB55B8" w:rsidP="00A718CA">
      <w:pPr>
        <w:jc w:val="center"/>
        <w:rPr>
          <w:rFonts w:eastAsiaTheme="minorEastAsia"/>
        </w:rPr>
      </w:pPr>
      <m:oMath>
        <m:r>
          <m:rPr>
            <m:sty m:val="p"/>
          </m:rPr>
          <w:rPr>
            <w:rFonts w:ascii="Cambria Math" w:eastAsiaTheme="minorEastAsia" w:hAnsi="Cambria Math"/>
          </w:rPr>
          <m:t>Λ</m:t>
        </m:r>
        <m:r>
          <w:rPr>
            <w:rFonts w:ascii="Cambria Math" w:eastAsiaTheme="minorEastAsia" w:hAnsi="Cambria Math"/>
          </w:rPr>
          <m:t>(X)</m:t>
        </m:r>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r w:rsidR="00A718CA">
        <w:rPr>
          <w:rFonts w:eastAsiaTheme="minorEastAsia"/>
        </w:rPr>
        <w:t>.</w:t>
      </w:r>
    </w:p>
    <w:p w:rsidR="00250772" w:rsidRDefault="007B3A7C" w:rsidP="00250772">
      <w:pPr>
        <w:rPr>
          <w:rFonts w:eastAsiaTheme="minorEastAsia"/>
        </w:rPr>
      </w:pPr>
      <w:r>
        <w:rPr>
          <w:rFonts w:eastAsiaTheme="minorEastAsia"/>
        </w:rPr>
        <w:t xml:space="preserve">This gate then maps the following two-qubit system as: </w:t>
      </w:r>
    </w:p>
    <w:p w:rsidR="007B3A7C" w:rsidRPr="007B3A7C" w:rsidRDefault="007B3A7C"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|00</m:t>
              </m:r>
            </m:e>
          </m:d>
        </m:oMath>
      </m:oMathPara>
    </w:p>
    <w:p w:rsidR="007B3A7C" w:rsidRPr="007B3A7C" w:rsidRDefault="007B3A7C"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|01</m:t>
              </m:r>
            </m:e>
          </m:d>
        </m:oMath>
      </m:oMathPara>
    </w:p>
    <w:p w:rsidR="007B3A7C" w:rsidRPr="007B3A7C" w:rsidRDefault="007B3A7C"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B3A7C" w:rsidRPr="00E9544F" w:rsidRDefault="007B3A7C" w:rsidP="00250772">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|10</m:t>
              </m:r>
            </m:e>
          </m:d>
        </m:oMath>
      </m:oMathPara>
    </w:p>
    <w:p w:rsidR="00E9544F" w:rsidRDefault="00E9544F" w:rsidP="00250772">
      <w:pPr>
        <w:rPr>
          <w:rFonts w:eastAsiaTheme="minorEastAsia"/>
        </w:rPr>
      </w:pPr>
      <w:r>
        <w:rPr>
          <w:rFonts w:eastAsiaTheme="minorEastAsia"/>
        </w:rPr>
        <w:t>With the following as an example:</w:t>
      </w:r>
    </w:p>
    <w:p w:rsidR="00E9544F" w:rsidRPr="007B3A7C" w:rsidRDefault="00E9544F" w:rsidP="00250772">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X</m:t>
              </m:r>
            </m:e>
          </m:d>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|11</m:t>
              </m:r>
            </m:e>
          </m:d>
        </m:oMath>
      </m:oMathPara>
    </w:p>
    <w:p w:rsidR="007B3A7C" w:rsidRPr="007B3A7C" w:rsidRDefault="007B3A7C" w:rsidP="00250772">
      <w:pPr>
        <w:rPr>
          <w:rFonts w:eastAsiaTheme="minorEastAsia"/>
        </w:rPr>
      </w:pPr>
    </w:p>
    <w:p w:rsidR="004B5CF0" w:rsidRPr="00F6162B" w:rsidRDefault="004B5CF0" w:rsidP="00A718CA">
      <w:pPr>
        <w:rPr>
          <w:rFonts w:eastAsiaTheme="minorEastAsia"/>
        </w:rPr>
      </w:pPr>
    </w:p>
    <w:sectPr w:rsidR="004B5CF0" w:rsidRPr="00F6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B2A"/>
    <w:multiLevelType w:val="hybridMultilevel"/>
    <w:tmpl w:val="3CEEE204"/>
    <w:lvl w:ilvl="0" w:tplc="876EE8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38F9"/>
    <w:multiLevelType w:val="hybridMultilevel"/>
    <w:tmpl w:val="2F96D372"/>
    <w:lvl w:ilvl="0" w:tplc="D9F4E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977D3"/>
    <w:multiLevelType w:val="hybridMultilevel"/>
    <w:tmpl w:val="FA88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D6098"/>
    <w:multiLevelType w:val="hybridMultilevel"/>
    <w:tmpl w:val="541418BA"/>
    <w:lvl w:ilvl="0" w:tplc="71FA26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44"/>
    <w:rsid w:val="00250772"/>
    <w:rsid w:val="002F538A"/>
    <w:rsid w:val="003562A1"/>
    <w:rsid w:val="00436131"/>
    <w:rsid w:val="00496A24"/>
    <w:rsid w:val="004B5CF0"/>
    <w:rsid w:val="005B0062"/>
    <w:rsid w:val="005B0C8B"/>
    <w:rsid w:val="00623AB0"/>
    <w:rsid w:val="0065434E"/>
    <w:rsid w:val="00655376"/>
    <w:rsid w:val="007B3A7C"/>
    <w:rsid w:val="008555C7"/>
    <w:rsid w:val="009E7492"/>
    <w:rsid w:val="00A66446"/>
    <w:rsid w:val="00A718CA"/>
    <w:rsid w:val="00BF4FB9"/>
    <w:rsid w:val="00C1085A"/>
    <w:rsid w:val="00C50744"/>
    <w:rsid w:val="00C707B5"/>
    <w:rsid w:val="00CC25A6"/>
    <w:rsid w:val="00E27E26"/>
    <w:rsid w:val="00E9544F"/>
    <w:rsid w:val="00EB2276"/>
    <w:rsid w:val="00EB55B8"/>
    <w:rsid w:val="00EF70E7"/>
    <w:rsid w:val="00F6162B"/>
    <w:rsid w:val="00FA7AF0"/>
    <w:rsid w:val="00FD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3460"/>
  <w15:chartTrackingRefBased/>
  <w15:docId w15:val="{3B6E19B0-524D-4B1D-8462-E034D569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44"/>
    <w:pPr>
      <w:ind w:left="720"/>
      <w:contextualSpacing/>
    </w:pPr>
  </w:style>
  <w:style w:type="character" w:styleId="PlaceholderText">
    <w:name w:val="Placeholder Text"/>
    <w:basedOn w:val="DefaultParagraphFont"/>
    <w:uiPriority w:val="99"/>
    <w:semiHidden/>
    <w:rsid w:val="00CC2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965A9-2CD4-4862-BC0A-00D6DC2A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2</cp:revision>
  <dcterms:created xsi:type="dcterms:W3CDTF">2019-07-01T10:49:00Z</dcterms:created>
  <dcterms:modified xsi:type="dcterms:W3CDTF">2019-07-01T10:49:00Z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zotero-version="5.0.68"&gt;&lt;session id="SJPMj19K"/&gt;&lt;style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