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6DEB" w14:textId="77777777" w:rsidR="00C50744" w:rsidRDefault="00C50744">
      <w:r>
        <w:t>Evaluation of time and space complexity of a quantum algorithm for the Travelling Salesman problem as compared to its classical computing counterparts for benchmarks.</w:t>
      </w:r>
    </w:p>
    <w:p w14:paraId="2CB3B0CE" w14:textId="77777777" w:rsidR="00C50744" w:rsidRDefault="00C50744"/>
    <w:p w14:paraId="04929FEA" w14:textId="77777777" w:rsidR="00496A24" w:rsidRDefault="00C50744">
      <w:r>
        <w:t>P vs NP</w:t>
      </w:r>
    </w:p>
    <w:p w14:paraId="080D75A8" w14:textId="77777777" w:rsidR="00CC25A6" w:rsidRDefault="00CC25A6" w:rsidP="00CC25A6">
      <w:pPr>
        <w:pStyle w:val="ListParagraph"/>
        <w:numPr>
          <w:ilvl w:val="0"/>
          <w:numId w:val="3"/>
        </w:numPr>
      </w:pPr>
      <w:r>
        <w:t>P = NP</w:t>
      </w:r>
    </w:p>
    <w:p w14:paraId="07675081" w14:textId="77777777" w:rsidR="00C50744" w:rsidRDefault="00C50744" w:rsidP="00C50744">
      <w:pPr>
        <w:pStyle w:val="ListParagraph"/>
        <w:numPr>
          <w:ilvl w:val="0"/>
          <w:numId w:val="3"/>
        </w:numPr>
      </w:pPr>
      <w:r>
        <w:t>Definition of P</w:t>
      </w:r>
    </w:p>
    <w:p w14:paraId="21880742" w14:textId="77777777" w:rsidR="00C50744" w:rsidRDefault="00C50744" w:rsidP="00C50744">
      <w:pPr>
        <w:pStyle w:val="ListParagraph"/>
        <w:numPr>
          <w:ilvl w:val="1"/>
          <w:numId w:val="3"/>
        </w:numPr>
      </w:pPr>
      <w:r>
        <w:t>Deterministic</w:t>
      </w:r>
    </w:p>
    <w:p w14:paraId="7A8B30C3" w14:textId="77777777" w:rsidR="00C50744" w:rsidRDefault="00C50744" w:rsidP="00C50744">
      <w:pPr>
        <w:pStyle w:val="ListParagraph"/>
        <w:numPr>
          <w:ilvl w:val="1"/>
          <w:numId w:val="3"/>
        </w:numPr>
      </w:pPr>
      <w:r>
        <w:t>Polynomial Time</w:t>
      </w:r>
    </w:p>
    <w:p w14:paraId="48DA951C" w14:textId="77777777" w:rsidR="00C50744" w:rsidRDefault="00C50744" w:rsidP="00C50744">
      <w:pPr>
        <w:pStyle w:val="ListParagraph"/>
        <w:numPr>
          <w:ilvl w:val="0"/>
          <w:numId w:val="3"/>
        </w:numPr>
      </w:pPr>
      <w:r>
        <w:t>Definition of NP</w:t>
      </w:r>
    </w:p>
    <w:p w14:paraId="04973F26" w14:textId="77777777" w:rsidR="00C50744" w:rsidRDefault="00C50744" w:rsidP="00C50744">
      <w:pPr>
        <w:pStyle w:val="ListParagraph"/>
        <w:numPr>
          <w:ilvl w:val="1"/>
          <w:numId w:val="3"/>
        </w:numPr>
      </w:pPr>
      <w:r>
        <w:t>Verifiability in Polynomial Time</w:t>
      </w:r>
    </w:p>
    <w:p w14:paraId="395E3E77" w14:textId="77777777" w:rsidR="00C50744" w:rsidRDefault="00C50744" w:rsidP="00C50744">
      <w:pPr>
        <w:pStyle w:val="ListParagraph"/>
        <w:numPr>
          <w:ilvl w:val="1"/>
          <w:numId w:val="3"/>
        </w:numPr>
      </w:pPr>
      <w:r>
        <w:t>Reduceability</w:t>
      </w:r>
    </w:p>
    <w:p w14:paraId="6F8F34C4" w14:textId="77777777" w:rsidR="00C50744" w:rsidRDefault="00C50744" w:rsidP="00C50744">
      <w:pPr>
        <w:pStyle w:val="ListParagraph"/>
        <w:numPr>
          <w:ilvl w:val="1"/>
          <w:numId w:val="3"/>
        </w:numPr>
      </w:pPr>
      <w:r>
        <w:t>Non-deterministic algorithms</w:t>
      </w:r>
    </w:p>
    <w:p w14:paraId="63E845BA" w14:textId="77777777" w:rsidR="00C50744" w:rsidRDefault="00C50744" w:rsidP="00C50744">
      <w:pPr>
        <w:pStyle w:val="ListParagraph"/>
        <w:numPr>
          <w:ilvl w:val="0"/>
          <w:numId w:val="3"/>
        </w:numPr>
      </w:pPr>
      <w:r>
        <w:t>Big-O Notation</w:t>
      </w:r>
    </w:p>
    <w:p w14:paraId="60C7DA98" w14:textId="77777777" w:rsidR="00C50744" w:rsidRDefault="00C50744" w:rsidP="00C50744">
      <w:r>
        <w:t>Complexity Theory</w:t>
      </w:r>
    </w:p>
    <w:p w14:paraId="6E19D3E1" w14:textId="77777777" w:rsidR="00C50744" w:rsidRDefault="00C50744" w:rsidP="00C50744">
      <w:pPr>
        <w:pStyle w:val="ListParagraph"/>
        <w:numPr>
          <w:ilvl w:val="0"/>
          <w:numId w:val="3"/>
        </w:numPr>
      </w:pPr>
      <w:r>
        <w:t>Time Complexity Analysis</w:t>
      </w:r>
    </w:p>
    <w:p w14:paraId="6FE256B2" w14:textId="77777777" w:rsidR="00C50744" w:rsidRDefault="00C50744" w:rsidP="00C50744">
      <w:pPr>
        <w:pStyle w:val="ListParagraph"/>
        <w:numPr>
          <w:ilvl w:val="0"/>
          <w:numId w:val="3"/>
        </w:numPr>
      </w:pPr>
      <w:r>
        <w:t>Space Complexity Analysis</w:t>
      </w:r>
    </w:p>
    <w:p w14:paraId="5924E386" w14:textId="77777777" w:rsidR="00C50744" w:rsidRDefault="00C50744">
      <w:r>
        <w:t>Travelling Salesman</w:t>
      </w:r>
    </w:p>
    <w:p w14:paraId="77396511" w14:textId="381FD6EF" w:rsidR="00C50744" w:rsidRDefault="00C50744" w:rsidP="00C50744">
      <w:pPr>
        <w:pStyle w:val="ListParagraph"/>
        <w:numPr>
          <w:ilvl w:val="0"/>
          <w:numId w:val="2"/>
        </w:numPr>
      </w:pPr>
      <w:r>
        <w:t>Definition</w:t>
      </w:r>
    </w:p>
    <w:p w14:paraId="38855A0E" w14:textId="7B79F00B" w:rsidR="00633204" w:rsidRDefault="00633204" w:rsidP="00C50744">
      <w:pPr>
        <w:pStyle w:val="ListParagraph"/>
        <w:numPr>
          <w:ilvl w:val="0"/>
          <w:numId w:val="2"/>
        </w:numPr>
      </w:pPr>
      <w:r>
        <w:t>Practical applications</w:t>
      </w:r>
    </w:p>
    <w:p w14:paraId="6FE731C3" w14:textId="77777777" w:rsidR="00436131" w:rsidRDefault="00436131" w:rsidP="00C50744">
      <w:pPr>
        <w:pStyle w:val="ListParagraph"/>
        <w:numPr>
          <w:ilvl w:val="0"/>
          <w:numId w:val="2"/>
        </w:numPr>
      </w:pPr>
      <w:r>
        <w:t>Brute-force algorithm</w:t>
      </w:r>
    </w:p>
    <w:p w14:paraId="136CF7F5" w14:textId="77777777" w:rsidR="00C50744" w:rsidRDefault="00C50744" w:rsidP="00C50744">
      <w:pPr>
        <w:pStyle w:val="ListParagraph"/>
        <w:numPr>
          <w:ilvl w:val="0"/>
          <w:numId w:val="2"/>
        </w:numPr>
      </w:pPr>
      <w:r>
        <w:t xml:space="preserve">Current Best-Known </w:t>
      </w:r>
      <w:r w:rsidR="00436131">
        <w:t>Heuristic Algorithm</w:t>
      </w:r>
    </w:p>
    <w:p w14:paraId="56713E0E" w14:textId="77777777" w:rsidR="00C50744" w:rsidRDefault="00C50744">
      <w:r>
        <w:t>History of Quantum Computing</w:t>
      </w:r>
    </w:p>
    <w:p w14:paraId="516686F0" w14:textId="77777777" w:rsidR="00C50744" w:rsidRDefault="00C50744" w:rsidP="00C50744">
      <w:pPr>
        <w:pStyle w:val="ListParagraph"/>
        <w:numPr>
          <w:ilvl w:val="0"/>
          <w:numId w:val="2"/>
        </w:numPr>
      </w:pPr>
      <w:r>
        <w:t>Shor’s Algorithm for Integer Factorization</w:t>
      </w:r>
    </w:p>
    <w:p w14:paraId="65537595" w14:textId="77777777" w:rsidR="00C50744" w:rsidRDefault="00C50744" w:rsidP="00C50744">
      <w:pPr>
        <w:pStyle w:val="ListParagraph"/>
        <w:numPr>
          <w:ilvl w:val="1"/>
          <w:numId w:val="2"/>
        </w:numPr>
      </w:pPr>
      <w:r>
        <w:t>How Shor’s was analyzed for time &amp; space complexity</w:t>
      </w:r>
    </w:p>
    <w:p w14:paraId="4DD2D182" w14:textId="77777777" w:rsidR="00C50744" w:rsidRDefault="00C50744" w:rsidP="00C50744">
      <w:pPr>
        <w:pStyle w:val="ListParagraph"/>
        <w:numPr>
          <w:ilvl w:val="0"/>
          <w:numId w:val="2"/>
        </w:numPr>
      </w:pPr>
      <w:r>
        <w:t>Future Projections on qubit availability</w:t>
      </w:r>
    </w:p>
    <w:p w14:paraId="2BBC5626" w14:textId="77777777" w:rsidR="00C50744" w:rsidRDefault="00C50744" w:rsidP="00C50744">
      <w:r>
        <w:t>Introduction to Notation</w:t>
      </w:r>
    </w:p>
    <w:p w14:paraId="7341B52F" w14:textId="77777777" w:rsidR="00C50744" w:rsidRDefault="00C50744" w:rsidP="00C50744">
      <w:pPr>
        <w:pStyle w:val="ListParagraph"/>
        <w:numPr>
          <w:ilvl w:val="0"/>
          <w:numId w:val="2"/>
        </w:numPr>
      </w:pPr>
      <w:r>
        <w:t>Dirac Notation for Quantum Computing</w:t>
      </w:r>
    </w:p>
    <w:p w14:paraId="3AD0D3EB" w14:textId="77777777" w:rsidR="00CC25A6" w:rsidRDefault="00CC25A6" w:rsidP="00CC25A6">
      <w:pPr>
        <w:pStyle w:val="ListParagraph"/>
        <w:numPr>
          <w:ilvl w:val="1"/>
          <w:numId w:val="2"/>
        </w:numPr>
      </w:pPr>
      <w:r>
        <w:t>Basis Set</w:t>
      </w:r>
    </w:p>
    <w:p w14:paraId="785EC458" w14:textId="77777777" w:rsidR="00CC25A6" w:rsidRDefault="00CC25A6" w:rsidP="00CC25A6">
      <w:pPr>
        <w:pStyle w:val="ListParagraph"/>
        <w:numPr>
          <w:ilvl w:val="1"/>
          <w:numId w:val="2"/>
        </w:numPr>
      </w:pPr>
      <w:r>
        <w:t>Cross Products</w:t>
      </w:r>
    </w:p>
    <w:p w14:paraId="669F6C56" w14:textId="77777777" w:rsidR="00CC25A6" w:rsidRDefault="00CC25A6" w:rsidP="00CC25A6">
      <w:pPr>
        <w:pStyle w:val="ListParagraph"/>
        <w:numPr>
          <w:ilvl w:val="1"/>
          <w:numId w:val="2"/>
        </w:numPr>
      </w:pPr>
      <w:r>
        <w:t>Direct Products</w:t>
      </w:r>
    </w:p>
    <w:p w14:paraId="0D0C0F90" w14:textId="77777777" w:rsidR="00CC25A6" w:rsidRDefault="00CC25A6" w:rsidP="00CC25A6">
      <w:pPr>
        <w:pStyle w:val="ListParagraph"/>
        <w:numPr>
          <w:ilvl w:val="1"/>
          <w:numId w:val="2"/>
        </w:numPr>
      </w:pPr>
      <w:r>
        <w:t>Direct Sums</w:t>
      </w:r>
    </w:p>
    <w:p w14:paraId="22BDC581" w14:textId="77777777" w:rsidR="00C50744" w:rsidRDefault="00C50744" w:rsidP="00C50744">
      <w:pPr>
        <w:pStyle w:val="ListParagraph"/>
        <w:numPr>
          <w:ilvl w:val="0"/>
          <w:numId w:val="2"/>
        </w:numPr>
      </w:pPr>
      <w:r>
        <w:t>Quantum Gates and Circuits</w:t>
      </w:r>
    </w:p>
    <w:p w14:paraId="654EB68F" w14:textId="77777777" w:rsidR="00CC25A6" w:rsidRDefault="00CC25A6" w:rsidP="005B0062">
      <w:pPr>
        <w:pStyle w:val="ListParagraph"/>
        <w:numPr>
          <w:ilvl w:val="1"/>
          <w:numId w:val="2"/>
        </w:numPr>
      </w:pPr>
      <w:r>
        <w:t>Pauli-X</w:t>
      </w:r>
    </w:p>
    <w:p w14:paraId="17BE7DD8" w14:textId="77777777" w:rsidR="00CC25A6" w:rsidRDefault="00CC25A6" w:rsidP="00CC25A6">
      <w:pPr>
        <w:pStyle w:val="ListParagraph"/>
        <w:numPr>
          <w:ilvl w:val="1"/>
          <w:numId w:val="2"/>
        </w:numPr>
      </w:pPr>
      <w:r>
        <w:t>Hadamard</w:t>
      </w:r>
    </w:p>
    <w:p w14:paraId="01EE7E8C" w14:textId="77777777" w:rsidR="00CC25A6" w:rsidRDefault="00CC25A6" w:rsidP="00CC25A6">
      <w:pPr>
        <w:pStyle w:val="ListParagraph"/>
        <w:numPr>
          <w:ilvl w:val="1"/>
          <w:numId w:val="2"/>
        </w:numPr>
      </w:pPr>
      <w:r>
        <w:t>Controlled</w:t>
      </w:r>
    </w:p>
    <w:p w14:paraId="35796161" w14:textId="77777777" w:rsidR="00EF70E7" w:rsidRDefault="00E27E26" w:rsidP="00CC25A6">
      <w:pPr>
        <w:pStyle w:val="ListParagraph"/>
        <w:numPr>
          <w:ilvl w:val="1"/>
          <w:numId w:val="2"/>
        </w:numPr>
      </w:pPr>
      <w:r>
        <w:t>Interaction of Hadamard Bases on C-gates</w:t>
      </w:r>
    </w:p>
    <w:p w14:paraId="0C9999A4" w14:textId="77777777" w:rsidR="00436131" w:rsidRDefault="00436131" w:rsidP="00CC25A6">
      <w:pPr>
        <w:pStyle w:val="ListParagraph"/>
        <w:numPr>
          <w:ilvl w:val="1"/>
          <w:numId w:val="2"/>
        </w:numPr>
      </w:pPr>
      <w:r>
        <w:t>Toffoli</w:t>
      </w:r>
    </w:p>
    <w:p w14:paraId="7BA7D30F" w14:textId="77777777" w:rsidR="00436131" w:rsidRDefault="00436131" w:rsidP="00436131">
      <w:r>
        <w:t>Quantum Fourier Transform</w:t>
      </w:r>
    </w:p>
    <w:p w14:paraId="7058E646" w14:textId="77777777" w:rsidR="00436131" w:rsidRDefault="00436131" w:rsidP="00436131">
      <w:r>
        <w:lastRenderedPageBreak/>
        <w:t>Measurement</w:t>
      </w:r>
    </w:p>
    <w:p w14:paraId="1D870724" w14:textId="77777777" w:rsidR="00C50744" w:rsidRDefault="00C50744" w:rsidP="00C50744">
      <w:r>
        <w:t>Srinivasan et al. Brute-Force Algorithm for TSP</w:t>
      </w:r>
    </w:p>
    <w:p w14:paraId="60299F5B" w14:textId="77777777" w:rsidR="00CC25A6" w:rsidRDefault="00CC25A6">
      <w:r>
        <w:t>Bang et al. Heuristic Algorithm for TSP</w:t>
      </w:r>
      <w:r>
        <w:br w:type="page"/>
      </w:r>
    </w:p>
    <w:p w14:paraId="2BD32797" w14:textId="77777777" w:rsidR="00633204" w:rsidRDefault="00633204">
      <w:r>
        <w:lastRenderedPageBreak/>
        <w:t>TRAVELLING SALESMAN</w:t>
      </w:r>
    </w:p>
    <w:p w14:paraId="5235F3F7" w14:textId="77777777" w:rsidR="00633204" w:rsidRDefault="00633204">
      <w:r>
        <w:t>PRACTICAL APPLICATIONS</w:t>
      </w:r>
    </w:p>
    <w:p w14:paraId="76A988E8" w14:textId="77777777" w:rsidR="00633204" w:rsidRDefault="00633204">
      <w:r>
        <w:t>The simplest of practical applications involve routing problems – similar to the dilema of the travelling salesman for which the problem is named; however, many problems can be interpretted as a TSP problem. In fact, any problem that involves some distance or expense between a number of points can be structured as a TSP.</w:t>
      </w:r>
    </w:p>
    <w:p w14:paraId="2AA5E9F1" w14:textId="77777777" w:rsidR="00A14757" w:rsidRDefault="00633204">
      <w:r>
        <w:tab/>
        <w:t xml:space="preserve">Consider a problem faced by every public school district in the United States: bus routes. The average occupancy of an American school bus is 72 students. That represents a TSP of potentially 72 nodes; leaving the school to pick-up up to 72 children at their homes before returning to </w:t>
      </w:r>
      <w:r w:rsidR="00A14757">
        <w:t>the school.</w:t>
      </w:r>
    </w:p>
    <w:p w14:paraId="17580800" w14:textId="77777777" w:rsidR="00A14757" w:rsidRDefault="00A14757">
      <w:r>
        <w:tab/>
        <w:t>UPS delivers an average of about 15 million packages per day, with each truck making an average of 120 deliveries per day. This then represents a TSP of 120 cities, not including the factory.</w:t>
      </w:r>
    </w:p>
    <w:p w14:paraId="44DD5E18" w14:textId="77777777" w:rsidR="00A14757" w:rsidRDefault="00A14757">
      <w:r>
        <w:tab/>
        <w:t>The above two problems are relatively small TSPs (both of which, however, are intractable by a brute-force algorithm), yet need to be repeated for thousands of busses of trucks. Optimizing the efficiency of the routes for these vehicles then represents a significant savings in both time and fuel, when considering the sheer amount of vehicles that could be affected.</w:t>
      </w:r>
    </w:p>
    <w:p w14:paraId="231829CC" w14:textId="41187A56" w:rsidR="00633204" w:rsidRDefault="00A14757">
      <w:r>
        <w:tab/>
        <w:t>There exist less obvious</w:t>
      </w:r>
      <w:r w:rsidR="00BE15F8">
        <w:t xml:space="preserve"> TSPs with greatly increased n-values. Consider an astronomer who wishes to observe the galaxies visible in the night sky with a telescope. </w:t>
      </w:r>
      <w:bookmarkStart w:id="0" w:name="_GoBack"/>
      <w:bookmarkEnd w:id="0"/>
      <w:r w:rsidR="00633204">
        <w:br w:type="page"/>
      </w:r>
    </w:p>
    <w:p w14:paraId="37D35780" w14:textId="0FFAC9B0" w:rsidR="00CC25A6" w:rsidRDefault="00CC25A6" w:rsidP="00C50744">
      <w:r>
        <w:lastRenderedPageBreak/>
        <w:t>INTRODUCTION TO NOTATION</w:t>
      </w:r>
    </w:p>
    <w:p w14:paraId="41D0A37D" w14:textId="77777777" w:rsidR="00CC25A6" w:rsidRDefault="003562A1" w:rsidP="00C50744">
      <w:pPr>
        <w:rPr>
          <w:rFonts w:eastAsiaTheme="minorEastAsia"/>
        </w:rPr>
      </w:pPr>
      <w:r>
        <w:rPr>
          <w:rFonts w:eastAsiaTheme="minorEastAsia"/>
        </w:rPr>
        <w:t xml:space="preserve">The state of a quantum computer is often represented with Dirac notation. The following ket-vectors: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oMath>
      <w:r>
        <w:rPr>
          <w:rFonts w:eastAsiaTheme="minorEastAsia"/>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 respectively.</w:t>
      </w:r>
    </w:p>
    <w:p w14:paraId="7C1CD204" w14:textId="77777777" w:rsidR="00A66446" w:rsidRDefault="003562A1" w:rsidP="00C50744">
      <w:pPr>
        <w:rPr>
          <w:rFonts w:eastAsiaTheme="minorEastAsia"/>
        </w:rPr>
      </w:pPr>
      <w:r>
        <w:rPr>
          <w:rFonts w:eastAsiaTheme="minorEastAsia"/>
        </w:rPr>
        <w:t>To expand the system for multiple qubits, one takes the direct product of all qubits within the system. For example, a two-qubit system</w:t>
      </w:r>
      <w:r w:rsidR="00A66446">
        <w:rPr>
          <w:rFonts w:eastAsiaTheme="minorEastAsia"/>
        </w:rPr>
        <w:t>, with both qubits in state 0 is expressed by the following:</w:t>
      </w:r>
    </w:p>
    <w:p w14:paraId="78B1DAF6" w14:textId="77777777" w:rsidR="00A66446" w:rsidRPr="00A66446" w:rsidRDefault="00BE15F8" w:rsidP="00C50744">
      <w:pPr>
        <w:rPr>
          <w:rFonts w:eastAsiaTheme="minorEastAsia"/>
        </w:rPr>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d>
            <m:dPr>
              <m:begChr m:val=""/>
              <m:endChr m:val="⟩"/>
              <m:ctrlPr>
                <w:rPr>
                  <w:rFonts w:ascii="Cambria Math" w:hAnsi="Cambria Math"/>
                  <w:i/>
                </w:rPr>
              </m:ctrlPr>
            </m:dPr>
            <m:e>
              <m:r>
                <w:rPr>
                  <w:rFonts w:ascii="Cambria Math" w:hAnsi="Cambria Math"/>
                </w:rPr>
                <m:t>|00</m:t>
              </m:r>
            </m:e>
          </m:d>
        </m:oMath>
      </m:oMathPara>
    </w:p>
    <w:p w14:paraId="5A2A04C7" w14:textId="77777777" w:rsidR="00A66446" w:rsidRDefault="00A66446" w:rsidP="00C50744">
      <w:pPr>
        <w:rPr>
          <w:rFonts w:eastAsiaTheme="minorEastAsia"/>
        </w:rPr>
      </w:pPr>
      <w:r>
        <w:rPr>
          <w:rFonts w:eastAsiaTheme="minorEastAsia"/>
        </w:rPr>
        <w:t>and in vector format:</w:t>
      </w:r>
    </w:p>
    <w:p w14:paraId="19063869" w14:textId="77777777" w:rsidR="00A66446" w:rsidRDefault="00BE15F8" w:rsidP="00A66446">
      <w:pPr>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m:rPr>
            <m:sty m:val="p"/>
          </m:rPr>
          <w:rPr>
            <w:rFonts w:ascii="Cambria Math" w:eastAsiaTheme="minorEastAsia" w:hAnsi="Cambria Math"/>
          </w:rPr>
          <m:t xml:space="preserve"> ⊗</m:t>
        </m:r>
        <m:r>
          <m:rPr>
            <m:sty m:val="p"/>
          </m:rPr>
          <w:rPr>
            <w:rFonts w:ascii="Cambria Math" w:eastAsiaTheme="minorEastAsia"/>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m:rPr>
            <m:sty m:val="p"/>
          </m:rPr>
          <w:rPr>
            <w:rFonts w:ascii="Cambria Math" w:eastAsiaTheme="minorEastAsia" w:hAnsi="Cambria Math"/>
          </w:rPr>
          <m:t xml:space="preserve"> </m:t>
        </m:r>
        <m:r>
          <m:rPr>
            <m:sty m:val="p"/>
          </m:rPr>
          <w:rPr>
            <w:rFonts w:ascii="Cambria Math" w:eastAsiaTheme="minorEastAsia"/>
          </w:rPr>
          <m:t xml:space="preserve">= </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rPr>
                    <m:t>1</m:t>
                  </m:r>
                </m:e>
              </m:mr>
              <m:mr>
                <m:e>
                  <m:r>
                    <w:rPr>
                      <w:rFonts w:ascii="Cambria Math" w:eastAsiaTheme="minorEastAsia"/>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 xml:space="preserve"> </m:t>
        </m:r>
      </m:oMath>
      <w:r w:rsidR="00A66446">
        <w:rPr>
          <w:rFonts w:eastAsiaTheme="minorEastAsia"/>
        </w:rPr>
        <w:t>.</w:t>
      </w:r>
    </w:p>
    <w:p w14:paraId="1EAEE020" w14:textId="77777777" w:rsidR="00BF4FB9" w:rsidRDefault="00A66446" w:rsidP="00A66446">
      <w:pPr>
        <w:rPr>
          <w:rFonts w:eastAsiaTheme="minorEastAsia"/>
        </w:rPr>
      </w:pPr>
      <w:r>
        <w:rPr>
          <w:rFonts w:eastAsiaTheme="minorEastAsia"/>
        </w:rPr>
        <w:t>The associated bra-vector, or co-vector, for each state (</w:t>
      </w: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is given as the transpose, row-vector, of the state with</w:t>
      </w:r>
      <w:r w:rsidR="00BF4FB9">
        <w:rPr>
          <w:rFonts w:eastAsiaTheme="minorEastAsia"/>
        </w:rPr>
        <w:t xml:space="preserve"> the complex-conjugate taken for each element. Therefore, we show the following: </w:t>
      </w: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as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as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oMath>
      <w:r w:rsidR="00BF4FB9">
        <w:rPr>
          <w:rFonts w:eastAsiaTheme="minorEastAsia"/>
        </w:rPr>
        <w:t>.</w:t>
      </w:r>
    </w:p>
    <w:p w14:paraId="35D8E625" w14:textId="77777777" w:rsidR="00BF4FB9" w:rsidRDefault="00BF4FB9" w:rsidP="00A66446">
      <w:pPr>
        <w:rPr>
          <w:rFonts w:eastAsiaTheme="minorEastAsia"/>
        </w:rPr>
      </w:pPr>
      <w:r>
        <w:rPr>
          <w:rFonts w:eastAsiaTheme="minorEastAsia"/>
        </w:rPr>
        <w:t>Dirac notation typically omits the operator symbols when operating on two states</w:t>
      </w:r>
      <w:r w:rsidR="00655376">
        <w:rPr>
          <w:rFonts w:eastAsiaTheme="minorEastAsia"/>
        </w:rPr>
        <w:t xml:space="preserve"> within an equation. For clarification, we look at the three combinations of two states:</w:t>
      </w:r>
    </w:p>
    <w:p w14:paraId="5D01EDF6" w14:textId="77777777" w:rsidR="00655376" w:rsidRPr="00C707B5" w:rsidRDefault="00BE15F8"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oMath>
      <w:r w:rsidR="00655376" w:rsidRPr="00C707B5">
        <w:rPr>
          <w:rFonts w:eastAsiaTheme="minorEastAsia"/>
        </w:rPr>
        <w:t xml:space="preserve"> implies direct product, as shown above;</w:t>
      </w:r>
    </w:p>
    <w:p w14:paraId="2E12CC03" w14:textId="77777777" w:rsidR="00655376" w:rsidRPr="00C707B5" w:rsidRDefault="00BE15F8"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oMath>
      <w:r w:rsidR="00655376" w:rsidRPr="00C707B5">
        <w:rPr>
          <w:rFonts w:eastAsiaTheme="minorEastAsia"/>
        </w:rPr>
        <w:t xml:space="preserve"> implies scalar product, such that: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=1</m:t>
        </m:r>
      </m:oMath>
      <w:r w:rsidR="00655376" w:rsidRPr="00C707B5">
        <w:rPr>
          <w:rFonts w:eastAsiaTheme="minorEastAsia"/>
        </w:rPr>
        <w:t>;</w:t>
      </w:r>
    </w:p>
    <w:p w14:paraId="22295A2C" w14:textId="77777777" w:rsidR="00655376" w:rsidRPr="00C707B5" w:rsidRDefault="00BE15F8"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oMath>
      <w:r w:rsidR="00655376" w:rsidRPr="00C707B5">
        <w:rPr>
          <w:rFonts w:eastAsiaTheme="minorEastAsia"/>
        </w:rPr>
        <w:t xml:space="preserve"> implies cross product, such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00655376" w:rsidRPr="00C707B5">
        <w:rPr>
          <w:rFonts w:eastAsiaTheme="minorEastAsia"/>
        </w:rPr>
        <w:t>.</w:t>
      </w:r>
    </w:p>
    <w:p w14:paraId="2774FD9D" w14:textId="77777777" w:rsidR="00C707B5" w:rsidRDefault="00C707B5" w:rsidP="00A66446">
      <w:pPr>
        <w:rPr>
          <w:rFonts w:eastAsiaTheme="minorEastAsia"/>
        </w:rPr>
      </w:pPr>
    </w:p>
    <w:p w14:paraId="4E322948" w14:textId="77777777" w:rsidR="00655376" w:rsidRDefault="00C707B5" w:rsidP="00A66446">
      <w:pPr>
        <w:rPr>
          <w:rFonts w:eastAsiaTheme="minorEastAsia"/>
        </w:rPr>
      </w:pPr>
      <w:r>
        <w:rPr>
          <w:rFonts w:eastAsiaTheme="minorEastAsia"/>
        </w:rPr>
        <w:t>QUBIT STATE</w:t>
      </w:r>
    </w:p>
    <w:p w14:paraId="7566804D" w14:textId="77777777" w:rsidR="009E7492" w:rsidRDefault="009E7492" w:rsidP="00A66446">
      <w:pPr>
        <w:rPr>
          <w:rFonts w:eastAsiaTheme="minorEastAsia"/>
        </w:rPr>
      </w:pPr>
      <w:r>
        <w:rPr>
          <w:rFonts w:eastAsiaTheme="minorEastAsia"/>
        </w:rPr>
        <w:t xml:space="preserve">Because a qubit does not exist discretely in the states of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rPr>
          <w:rFonts w:eastAsiaTheme="minorEastAsia"/>
        </w:rPr>
        <w:t xml:space="preserve">or </w:t>
      </w:r>
      <m:oMath>
        <m:d>
          <m:dPr>
            <m:begChr m:val=""/>
            <m:endChr m:val="⟩"/>
            <m:ctrlPr>
              <w:rPr>
                <w:rFonts w:ascii="Cambria Math" w:hAnsi="Cambria Math"/>
                <w:i/>
              </w:rPr>
            </m:ctrlPr>
          </m:dPr>
          <m:e>
            <m:r>
              <w:rPr>
                <w:rFonts w:ascii="Cambria Math" w:hAnsi="Cambria Math"/>
              </w:rPr>
              <m:t>|1</m:t>
            </m:r>
          </m:e>
        </m:d>
      </m:oMath>
      <w:r>
        <w:rPr>
          <w:rFonts w:eastAsiaTheme="minorEastAsia"/>
        </w:rPr>
        <w:t xml:space="preserve">, we must find the probability that the qubit will be measured in either state. The probabilities are given by complex coefficients operating on either state, typically denoted </w:t>
      </w:r>
      <w:r>
        <w:rPr>
          <w:rFonts w:eastAsiaTheme="minorEastAsia" w:cstheme="minorHAnsi"/>
        </w:rPr>
        <w:t>α</w:t>
      </w:r>
      <w:r>
        <w:rPr>
          <w:rFonts w:eastAsiaTheme="minorEastAsia"/>
        </w:rPr>
        <w:t xml:space="preserve"> and </w:t>
      </w:r>
      <w:r>
        <w:rPr>
          <w:rFonts w:eastAsiaTheme="minorEastAsia" w:cstheme="minorHAnsi"/>
        </w:rPr>
        <w:t>β</w:t>
      </w:r>
      <w:r>
        <w:rPr>
          <w:rFonts w:eastAsiaTheme="minorEastAsia"/>
        </w:rPr>
        <w:t xml:space="preserve"> as scalars for the states </w:t>
      </w:r>
      <m:oMath>
        <m:d>
          <m:dPr>
            <m:begChr m:val=""/>
            <m:endChr m:val="⟩"/>
            <m:ctrlPr>
              <w:rPr>
                <w:rFonts w:ascii="Cambria Math" w:hAnsi="Cambria Math"/>
                <w:i/>
              </w:rPr>
            </m:ctrlPr>
          </m:dPr>
          <m:e>
            <m:r>
              <w:rPr>
                <w:rFonts w:ascii="Cambria Math" w:hAnsi="Cambria Math"/>
              </w:rPr>
              <m:t>|0</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|1</m:t>
            </m:r>
          </m:e>
        </m:d>
      </m:oMath>
      <w:r>
        <w:rPr>
          <w:rFonts w:eastAsiaTheme="minorEastAsia"/>
        </w:rPr>
        <w:t>, respectively. Thus, we can describe the overall state of a single qubit given:</w:t>
      </w:r>
    </w:p>
    <w:p w14:paraId="7854FF4F" w14:textId="77777777" w:rsidR="009E7492" w:rsidRPr="009E7492" w:rsidRDefault="00BE15F8" w:rsidP="00C707B5">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 α</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β</m:t>
        </m:r>
        <m:d>
          <m:dPr>
            <m:begChr m:val=""/>
            <m:endChr m:val="⟩"/>
            <m:ctrlPr>
              <w:rPr>
                <w:rFonts w:ascii="Cambria Math" w:eastAsiaTheme="minorEastAsia" w:hAnsi="Cambria Math"/>
                <w:i/>
              </w:rPr>
            </m:ctrlPr>
          </m:dPr>
          <m:e>
            <m:r>
              <w:rPr>
                <w:rFonts w:ascii="Cambria Math" w:eastAsiaTheme="minorEastAsia" w:hAnsi="Cambria Math"/>
              </w:rPr>
              <m:t>|1</m:t>
            </m:r>
          </m:e>
        </m:d>
      </m:oMath>
      <w:r w:rsidR="00C707B5">
        <w:rPr>
          <w:rFonts w:eastAsiaTheme="minorEastAsia"/>
        </w:rPr>
        <w:t>.</w:t>
      </w:r>
    </w:p>
    <w:p w14:paraId="6FD364EB" w14:textId="77777777" w:rsidR="00BF4FB9" w:rsidRDefault="00C707B5" w:rsidP="00A66446">
      <w:pPr>
        <w:rPr>
          <w:rFonts w:eastAsiaTheme="minorEastAsia"/>
        </w:rPr>
      </w:pPr>
      <w:r>
        <w:rPr>
          <w:rFonts w:eastAsiaTheme="minorEastAsia"/>
        </w:rPr>
        <w:t xml:space="preserve">We find the probability amplitudes that a qubit is measured as a 0 or 1 given the probability amplitudes of these coefficients: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 xml:space="preserve"> and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 xml:space="preserve">, where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fldChar w:fldCharType="begin"/>
      </w:r>
      <w:r>
        <w:rPr>
          <w:rFonts w:eastAsiaTheme="minorEastAsia"/>
        </w:rPr>
        <w:instrText xml:space="preserve"> ADDIN ZOTERO_ITEM CSL_CITATION {"citationID":"eUXqSq4R","properties":{"formattedCitation":"[1]","plainCitation":"[1]","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Pr>
          <w:rFonts w:eastAsiaTheme="minorEastAsia"/>
        </w:rPr>
        <w:fldChar w:fldCharType="separate"/>
      </w:r>
      <w:r w:rsidRPr="00C707B5">
        <w:rPr>
          <w:rFonts w:ascii="Calibri" w:hAnsi="Calibri" w:cs="Calibri"/>
        </w:rPr>
        <w:t>[1]</w:t>
      </w:r>
      <w:r>
        <w:rPr>
          <w:rFonts w:eastAsiaTheme="minorEastAsia"/>
        </w:rPr>
        <w:fldChar w:fldCharType="end"/>
      </w:r>
      <w:r>
        <w:rPr>
          <w:rFonts w:eastAsiaTheme="minorEastAsia"/>
        </w:rPr>
        <w:t>.</w:t>
      </w:r>
    </w:p>
    <w:p w14:paraId="1BD388E1" w14:textId="77777777" w:rsidR="00C707B5" w:rsidRDefault="00C707B5" w:rsidP="00A66446">
      <w:pPr>
        <w:rPr>
          <w:rFonts w:eastAsiaTheme="minorEastAsia"/>
        </w:rPr>
      </w:pPr>
    </w:p>
    <w:p w14:paraId="1D36DCCF" w14:textId="77777777" w:rsidR="00C707B5" w:rsidRDefault="00C707B5" w:rsidP="00A66446">
      <w:pPr>
        <w:rPr>
          <w:rFonts w:eastAsiaTheme="minorEastAsia"/>
        </w:rPr>
      </w:pPr>
      <w:r>
        <w:rPr>
          <w:rFonts w:eastAsiaTheme="minorEastAsia"/>
        </w:rPr>
        <w:t>QUANTUM GATES</w:t>
      </w:r>
    </w:p>
    <w:p w14:paraId="5CC1A619" w14:textId="77777777" w:rsidR="002F538A" w:rsidRDefault="002F538A" w:rsidP="002F538A">
      <w:pPr>
        <w:rPr>
          <w:rFonts w:eastAsiaTheme="minorEastAsia"/>
        </w:rPr>
      </w:pPr>
      <w:r>
        <w:rPr>
          <w:rFonts w:eastAsiaTheme="minorEastAsia"/>
        </w:rPr>
        <w:t>Hadamard Gate</w:t>
      </w:r>
    </w:p>
    <w:p w14:paraId="0C0DF011" w14:textId="77777777" w:rsidR="002F538A" w:rsidRDefault="002F538A" w:rsidP="002F538A">
      <w:pPr>
        <w:rPr>
          <w:rFonts w:eastAsiaTheme="minorEastAsia"/>
        </w:rPr>
      </w:pPr>
      <w:r>
        <w:rPr>
          <w:rFonts w:eastAsiaTheme="minorEastAsia"/>
        </w:rPr>
        <w:lastRenderedPageBreak/>
        <w:t xml:space="preserve">The Hadamard gate acts to superpose the state of a qubit, giving equal probability that the qubit is measured as either 0 or 1 </w:t>
      </w:r>
      <w:r w:rsidRPr="002F538A">
        <w:rPr>
          <w:rFonts w:ascii="Calibri" w:eastAsiaTheme="minorEastAsia" w:hAnsi="Calibri" w:cs="Calibri"/>
        </w:rPr>
        <w:t>[2]</w:t>
      </w:r>
      <w:r>
        <w:rPr>
          <w:rFonts w:ascii="Calibri" w:eastAsiaTheme="minorEastAsia" w:hAnsi="Calibri" w:cs="Calibri"/>
        </w:rPr>
        <w:t>.</w:t>
      </w:r>
    </w:p>
    <w:p w14:paraId="0DBF6DA2" w14:textId="77777777" w:rsidR="002F538A" w:rsidRDefault="002F538A" w:rsidP="002F538A">
      <w:pPr>
        <w:rPr>
          <w:rFonts w:eastAsiaTheme="minorEastAsia"/>
        </w:rPr>
      </w:pPr>
      <w:r>
        <w:rPr>
          <w:rFonts w:eastAsiaTheme="minorEastAsia"/>
        </w:rPr>
        <w:t xml:space="preserve">Hadamard Gate: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When applied to a qubit of either the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or </w:t>
      </w:r>
      <m:oMath>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basis vectors:</w:t>
      </w:r>
    </w:p>
    <w:p w14:paraId="03DD8ED6" w14:textId="77777777" w:rsidR="002F538A" w:rsidRPr="002F538A" w:rsidRDefault="002F538A" w:rsidP="00FD7791">
      <w:pPr>
        <w:jc w:val="center"/>
        <w:rPr>
          <w:rFonts w:eastAsiaTheme="minorEastAsia"/>
        </w:rPr>
      </w:pP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w:t>
      </w:r>
    </w:p>
    <w:p w14:paraId="65BD56F2" w14:textId="77777777" w:rsidR="002F538A" w:rsidRDefault="002F538A" w:rsidP="002F538A">
      <w:pPr>
        <w:jc w:val="center"/>
        <w:rPr>
          <w:rFonts w:eastAsiaTheme="minorEastAsia"/>
        </w:rPr>
      </w:pP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w:t>
      </w:r>
    </w:p>
    <w:p w14:paraId="2BBD6C64" w14:textId="77777777" w:rsidR="0065434E" w:rsidRDefault="00EF70E7" w:rsidP="0065434E">
      <w:pPr>
        <w:rPr>
          <w:rFonts w:eastAsiaTheme="minorEastAsia"/>
        </w:rPr>
      </w:pPr>
      <w:r>
        <w:rPr>
          <w:rFonts w:eastAsiaTheme="minorEastAsia"/>
        </w:rPr>
        <w:t>Likewise, we can refer to the superposed state produced as</w:t>
      </w:r>
      <w:r w:rsidR="0065434E">
        <w:rPr>
          <w:rFonts w:eastAsiaTheme="minorEastAsia"/>
        </w:rPr>
        <w:t xml:space="preserve"> the Hadamard basis vectors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5434E">
        <w:rPr>
          <w:rFonts w:eastAsiaTheme="minorEastAsia"/>
        </w:rPr>
        <w:t xml:space="preserve">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5434E">
        <w:rPr>
          <w:rFonts w:eastAsiaTheme="minorEastAsia"/>
        </w:rPr>
        <w:t>:</w:t>
      </w:r>
    </w:p>
    <w:p w14:paraId="1CF3F014" w14:textId="77777777" w:rsidR="0065434E" w:rsidRPr="0065434E" w:rsidRDefault="0065434E" w:rsidP="0065434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m:oMathPara>
    </w:p>
    <w:p w14:paraId="554DE823" w14:textId="77777777" w:rsidR="0065434E" w:rsidRDefault="0065434E" w:rsidP="0065434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beg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m:oMathPara>
    </w:p>
    <w:p w14:paraId="28CF5B63" w14:textId="77777777" w:rsidR="00C707B5" w:rsidRDefault="00FA7AF0" w:rsidP="00A66446">
      <w:pPr>
        <w:rPr>
          <w:rFonts w:eastAsiaTheme="minorEastAsia"/>
        </w:rPr>
      </w:pPr>
      <w:r>
        <w:rPr>
          <w:rFonts w:eastAsiaTheme="minorEastAsia"/>
        </w:rPr>
        <w:t>Pauli-X Gate</w:t>
      </w:r>
    </w:p>
    <w:p w14:paraId="35F1A22F" w14:textId="77777777" w:rsidR="00623AB0" w:rsidRDefault="00623AB0" w:rsidP="00A66446">
      <w:pPr>
        <w:rPr>
          <w:rFonts w:eastAsiaTheme="minorEastAsia"/>
        </w:rPr>
      </w:pPr>
      <w:r>
        <w:rPr>
          <w:rFonts w:eastAsiaTheme="minorEastAsia"/>
        </w:rPr>
        <w:t xml:space="preserve">The Pauli-X gate is the equivalent of a not-gate in classical computers, and acts to invert the values of the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states on a single qubit. This gate is represented by the Pauli-X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w:t>
      </w:r>
    </w:p>
    <w:p w14:paraId="11E7A7EA" w14:textId="77777777" w:rsidR="00623AB0" w:rsidRDefault="00623AB0" w:rsidP="00A66446">
      <w:pPr>
        <w:rPr>
          <w:rFonts w:eastAsiaTheme="minorEastAsia"/>
        </w:rPr>
      </w:pPr>
      <w:r>
        <w:rPr>
          <w:rFonts w:eastAsiaTheme="minorEastAsia"/>
        </w:rPr>
        <w:t xml:space="preserve">It is the case then that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sidR="00EB2276">
        <w:rPr>
          <w:rFonts w:eastAsiaTheme="minorEastAsia"/>
        </w:rPr>
        <w:t>.</w:t>
      </w:r>
    </w:p>
    <w:p w14:paraId="7F217061" w14:textId="77777777" w:rsidR="00EB2276" w:rsidRDefault="00EB2276" w:rsidP="00A66446">
      <w:pPr>
        <w:rPr>
          <w:rFonts w:eastAsiaTheme="minorEastAsia"/>
        </w:rPr>
      </w:pPr>
    </w:p>
    <w:p w14:paraId="40E1382B" w14:textId="77777777" w:rsidR="002F538A" w:rsidRDefault="002F538A" w:rsidP="002F538A">
      <w:pPr>
        <w:rPr>
          <w:rFonts w:eastAsiaTheme="minorEastAsia"/>
        </w:rPr>
      </w:pPr>
      <w:r>
        <w:rPr>
          <w:rFonts w:eastAsiaTheme="minorEastAsia"/>
        </w:rPr>
        <w:t>Controlled Gates</w:t>
      </w:r>
    </w:p>
    <w:p w14:paraId="1B349813" w14:textId="77777777" w:rsidR="00F6162B" w:rsidRPr="00EB55B8" w:rsidRDefault="00F6162B" w:rsidP="002F538A">
      <w:pPr>
        <w:rPr>
          <w:rFonts w:eastAsiaTheme="minorEastAsia"/>
        </w:rPr>
      </w:pPr>
      <w:r>
        <w:rPr>
          <w:rFonts w:eastAsiaTheme="minorEastAsia"/>
        </w:rPr>
        <w:t xml:space="preserve">Controlled gates require two qubits wherein 1 of the qubits acts as the control, while the other is being acted upon. </w:t>
      </w:r>
      <w:r w:rsidR="00EB55B8">
        <w:rPr>
          <w:rFonts w:eastAsiaTheme="minorEastAsia"/>
        </w:rPr>
        <w:t xml:space="preserve">A Controlled gate is notated as </w:t>
      </w:r>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oMath>
      <w:r w:rsidR="00EB55B8">
        <w:rPr>
          <w:rFonts w:eastAsiaTheme="minorEastAsia"/>
        </w:rPr>
        <w:t xml:space="preserve">, where </w:t>
      </w:r>
      <m:oMath>
        <m:r>
          <m:rPr>
            <m:scr m:val="double-struck"/>
          </m:rPr>
          <w:rPr>
            <w:rFonts w:ascii="Cambria Math" w:eastAsiaTheme="minorEastAsia" w:hAnsi="Cambria Math"/>
          </w:rPr>
          <m:t>G</m:t>
        </m:r>
      </m:oMath>
      <w:r w:rsidR="00EB55B8">
        <w:rPr>
          <w:rFonts w:eastAsiaTheme="minorEastAsia"/>
        </w:rPr>
        <w:t xml:space="preserve"> is the gate to be controlled </w:t>
      </w:r>
      <w:r w:rsidR="00EB55B8">
        <w:rPr>
          <w:rFonts w:eastAsiaTheme="minorEastAsia"/>
        </w:rPr>
        <w:fldChar w:fldCharType="begin"/>
      </w:r>
      <w:r w:rsidR="00EB55B8">
        <w:rPr>
          <w:rFonts w:eastAsiaTheme="minorEastAsia"/>
        </w:rPr>
        <w:instrText xml:space="preserve"> ADDIN ZOTERO_ITEM CSL_CITATION {"citationID":"QnzGaD8m","properties":{"formattedCitation":"[2]","plainCitation":"[2]","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00EB55B8">
        <w:rPr>
          <w:rFonts w:eastAsiaTheme="minorEastAsia"/>
        </w:rPr>
        <w:fldChar w:fldCharType="separate"/>
      </w:r>
      <w:r w:rsidR="00EB55B8" w:rsidRPr="00EB55B8">
        <w:rPr>
          <w:rFonts w:ascii="Calibri" w:hAnsi="Calibri" w:cs="Calibri"/>
        </w:rPr>
        <w:t>[2]</w:t>
      </w:r>
      <w:r w:rsidR="00EB55B8">
        <w:rPr>
          <w:rFonts w:eastAsiaTheme="minorEastAsia"/>
        </w:rPr>
        <w:fldChar w:fldCharType="end"/>
      </w:r>
      <w:r w:rsidR="00EB55B8">
        <w:rPr>
          <w:rFonts w:eastAsiaTheme="minorEastAsia"/>
        </w:rPr>
        <w:t xml:space="preserve">. </w:t>
      </w:r>
      <w:r>
        <w:rPr>
          <w:rFonts w:eastAsiaTheme="minorEastAsia"/>
        </w:rPr>
        <w:t>In its generalized form</w:t>
      </w:r>
      <w:r w:rsidR="007B3A7C">
        <w:rPr>
          <w:rFonts w:eastAsiaTheme="minorEastAsia"/>
        </w:rPr>
        <w:t xml:space="preserve">, a controlled gate is constructed as: </w:t>
      </w:r>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r>
              <m:rPr>
                <m:scr m:val="double-struck"/>
              </m:rPr>
              <w:rPr>
                <w:rFonts w:ascii="Cambria Math" w:eastAsiaTheme="minorEastAsia" w:hAnsi="Cambria Math"/>
              </w:rPr>
              <m:t xml:space="preserve">I+ </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1|⊗</m:t>
                </m:r>
                <m:r>
                  <m:rPr>
                    <m:scr m:val="double-struck"/>
                  </m:rPr>
                  <w:rPr>
                    <w:rFonts w:ascii="Cambria Math" w:eastAsiaTheme="minorEastAsia" w:hAnsi="Cambria Math"/>
                  </w:rPr>
                  <m:t>G</m:t>
                </m:r>
              </m:e>
            </m:d>
          </m:e>
        </m:d>
      </m:oMath>
      <w:r w:rsidR="007B3A7C">
        <w:rPr>
          <w:rFonts w:eastAsiaTheme="minorEastAsia"/>
        </w:rPr>
        <w:t xml:space="preserve"> </w:t>
      </w:r>
      <w:r w:rsidR="007B3A7C">
        <w:rPr>
          <w:rFonts w:eastAsiaTheme="minorEastAsia"/>
        </w:rPr>
        <w:fldChar w:fldCharType="begin"/>
      </w:r>
      <w:r w:rsidR="007B3A7C">
        <w:rPr>
          <w:rFonts w:eastAsiaTheme="minorEastAsia"/>
        </w:rPr>
        <w:instrText xml:space="preserve"> ADDIN ZOTERO_ITEM CSL_CITATION {"citationID":"YkWOYTOx","properties":{"formattedCitation":"[3]","plainCitation":"[3]","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007B3A7C">
        <w:rPr>
          <w:rFonts w:eastAsiaTheme="minorEastAsia"/>
        </w:rPr>
        <w:fldChar w:fldCharType="separate"/>
      </w:r>
      <w:r w:rsidR="007B3A7C" w:rsidRPr="007B3A7C">
        <w:rPr>
          <w:rFonts w:ascii="Calibri" w:hAnsi="Calibri" w:cs="Calibri"/>
        </w:rPr>
        <w:t>[3]</w:t>
      </w:r>
      <w:r w:rsidR="007B3A7C">
        <w:rPr>
          <w:rFonts w:eastAsiaTheme="minorEastAsia"/>
        </w:rPr>
        <w:fldChar w:fldCharType="end"/>
      </w:r>
      <w:r w:rsidR="007B3A7C">
        <w:rPr>
          <w:rFonts w:eastAsiaTheme="minorEastAsia"/>
        </w:rPr>
        <w:t>.</w:t>
      </w:r>
    </w:p>
    <w:p w14:paraId="4BBACB32" w14:textId="77777777" w:rsidR="002F538A" w:rsidRPr="00F6162B" w:rsidRDefault="00EB55B8" w:rsidP="00F6162B">
      <w:pPr>
        <w:jc w:val="cente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12</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22</m:t>
                        </m:r>
                      </m:sub>
                    </m:sSub>
                  </m:e>
                </m:mr>
              </m:m>
            </m:e>
          </m:d>
        </m:oMath>
      </m:oMathPara>
    </w:p>
    <w:p w14:paraId="58122324" w14:textId="77777777" w:rsidR="00A718CA" w:rsidRDefault="00F6162B" w:rsidP="00F6162B">
      <w:pPr>
        <w:rPr>
          <w:rFonts w:eastAsiaTheme="minorEastAsia"/>
        </w:rPr>
      </w:pPr>
      <w:r>
        <w:rPr>
          <w:rFonts w:eastAsiaTheme="minorEastAsia"/>
        </w:rPr>
        <w:t>The effect is that the controlled gate only acts on the 2</w:t>
      </w:r>
      <w:r w:rsidRPr="00F6162B">
        <w:rPr>
          <w:rFonts w:eastAsiaTheme="minorEastAsia"/>
          <w:vertAlign w:val="superscript"/>
        </w:rPr>
        <w:t>nd</w:t>
      </w:r>
      <w:r>
        <w:rPr>
          <w:rFonts w:eastAsiaTheme="minorEastAsia"/>
        </w:rPr>
        <w:t xml:space="preserve"> qubit if the </w:t>
      </w:r>
      <w:r w:rsidR="00A718CA">
        <w:rPr>
          <w:rFonts w:eastAsiaTheme="minorEastAsia"/>
        </w:rPr>
        <w:t>control qubit’s state is 1, and has no effect if the control qubit’s state is 0.</w:t>
      </w:r>
    </w:p>
    <w:p w14:paraId="4ADAFE16" w14:textId="77777777" w:rsidR="00A718CA" w:rsidRDefault="00A718CA" w:rsidP="00F6162B">
      <w:pPr>
        <w:rPr>
          <w:rFonts w:eastAsiaTheme="minorEastAsia"/>
        </w:rPr>
      </w:pPr>
      <w:r>
        <w:rPr>
          <w:rFonts w:eastAsiaTheme="minorEastAsia"/>
        </w:rPr>
        <w:t>The Controlled-Not gate (CNOT</w:t>
      </w:r>
      <w:r w:rsidR="00EB55B8">
        <w:rPr>
          <w:rFonts w:eastAsiaTheme="minorEastAsia"/>
        </w:rPr>
        <w:t xml:space="preserve"> or </w:t>
      </w:r>
      <m:oMath>
        <m:r>
          <m:rPr>
            <m:sty m:val="p"/>
          </m:rPr>
          <w:rPr>
            <w:rFonts w:ascii="Cambria Math" w:eastAsiaTheme="minorEastAsia" w:hAnsi="Cambria Math"/>
          </w:rPr>
          <m:t>Λ</m:t>
        </m:r>
        <m:r>
          <w:rPr>
            <w:rFonts w:ascii="Cambria Math" w:eastAsiaTheme="minorEastAsia" w:hAnsi="Cambria Math"/>
          </w:rPr>
          <m:t>(X)</m:t>
        </m:r>
      </m:oMath>
      <w:r>
        <w:rPr>
          <w:rFonts w:eastAsiaTheme="minorEastAsia"/>
        </w:rPr>
        <w:t>) then takes the form:</w:t>
      </w:r>
    </w:p>
    <w:p w14:paraId="4E525BF2" w14:textId="77777777" w:rsidR="00A718CA" w:rsidRDefault="00EB55B8" w:rsidP="00A718CA">
      <w:pPr>
        <w:jc w:val="center"/>
        <w:rPr>
          <w:rFonts w:eastAsiaTheme="minorEastAsia"/>
        </w:rPr>
      </w:pPr>
      <m:oMath>
        <m:r>
          <m:rPr>
            <m:sty m:val="p"/>
          </m:rPr>
          <w:rPr>
            <w:rFonts w:ascii="Cambria Math" w:eastAsiaTheme="minorEastAsia" w:hAnsi="Cambria Math"/>
          </w:rPr>
          <m:t>Λ</m:t>
        </m:r>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sidR="00A718CA">
        <w:rPr>
          <w:rFonts w:eastAsiaTheme="minorEastAsia"/>
        </w:rPr>
        <w:t>.</w:t>
      </w:r>
    </w:p>
    <w:p w14:paraId="489E3778" w14:textId="77777777" w:rsidR="00250772" w:rsidRDefault="007B3A7C" w:rsidP="00250772">
      <w:pPr>
        <w:rPr>
          <w:rFonts w:eastAsiaTheme="minorEastAsia"/>
        </w:rPr>
      </w:pPr>
      <w:r>
        <w:rPr>
          <w:rFonts w:eastAsiaTheme="minorEastAsia"/>
        </w:rPr>
        <w:t xml:space="preserve">This gate then maps the following two-qubit system as: </w:t>
      </w:r>
    </w:p>
    <w:p w14:paraId="78C2C74A" w14:textId="77777777" w:rsidR="007B3A7C" w:rsidRPr="007B3A7C" w:rsidRDefault="00BE15F8"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|00</m:t>
              </m:r>
            </m:e>
          </m:d>
        </m:oMath>
      </m:oMathPara>
    </w:p>
    <w:p w14:paraId="636453C6" w14:textId="77777777" w:rsidR="007B3A7C" w:rsidRPr="007B3A7C" w:rsidRDefault="00BE15F8"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1AEEB05E" w14:textId="77777777" w:rsidR="007B3A7C" w:rsidRPr="007B3A7C" w:rsidRDefault="00BE15F8"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51F0CD08" w14:textId="77777777" w:rsidR="007B3A7C" w:rsidRPr="00E9544F" w:rsidRDefault="00BE15F8"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|10</m:t>
              </m:r>
            </m:e>
          </m:d>
        </m:oMath>
      </m:oMathPara>
    </w:p>
    <w:p w14:paraId="1DF67F4E" w14:textId="77777777" w:rsidR="00E9544F" w:rsidRDefault="00E9544F" w:rsidP="00250772">
      <w:pPr>
        <w:rPr>
          <w:rFonts w:eastAsiaTheme="minorEastAsia"/>
        </w:rPr>
      </w:pPr>
      <w:r>
        <w:rPr>
          <w:rFonts w:eastAsiaTheme="minorEastAsia"/>
        </w:rPr>
        <w:t>With the following as an example:</w:t>
      </w:r>
    </w:p>
    <w:p w14:paraId="147E8D2F" w14:textId="77777777" w:rsidR="00E9544F" w:rsidRPr="007B3A7C" w:rsidRDefault="00E9544F" w:rsidP="00250772">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55FB003E" w14:textId="77777777" w:rsidR="007B3A7C" w:rsidRPr="007B3A7C" w:rsidRDefault="007B3A7C" w:rsidP="00250772">
      <w:pPr>
        <w:rPr>
          <w:rFonts w:eastAsiaTheme="minorEastAsia"/>
        </w:rPr>
      </w:pPr>
    </w:p>
    <w:p w14:paraId="19451EE5" w14:textId="77777777" w:rsidR="004B5CF0" w:rsidRPr="00F6162B" w:rsidRDefault="004B5CF0" w:rsidP="00A718CA">
      <w:pPr>
        <w:rPr>
          <w:rFonts w:eastAsiaTheme="minorEastAsia"/>
        </w:rPr>
      </w:pPr>
    </w:p>
    <w:sectPr w:rsidR="004B5CF0" w:rsidRPr="00F6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B2A"/>
    <w:multiLevelType w:val="hybridMultilevel"/>
    <w:tmpl w:val="3CEEE204"/>
    <w:lvl w:ilvl="0" w:tplc="876EE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8F9"/>
    <w:multiLevelType w:val="hybridMultilevel"/>
    <w:tmpl w:val="2F96D372"/>
    <w:lvl w:ilvl="0" w:tplc="D9F4E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D6098"/>
    <w:multiLevelType w:val="hybridMultilevel"/>
    <w:tmpl w:val="541418BA"/>
    <w:lvl w:ilvl="0" w:tplc="71FA26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44"/>
    <w:rsid w:val="00250772"/>
    <w:rsid w:val="002F538A"/>
    <w:rsid w:val="003562A1"/>
    <w:rsid w:val="00436131"/>
    <w:rsid w:val="00496A24"/>
    <w:rsid w:val="004B5CF0"/>
    <w:rsid w:val="005B0062"/>
    <w:rsid w:val="005B0C8B"/>
    <w:rsid w:val="00623AB0"/>
    <w:rsid w:val="00633204"/>
    <w:rsid w:val="0065434E"/>
    <w:rsid w:val="00655376"/>
    <w:rsid w:val="007B3A7C"/>
    <w:rsid w:val="008555C7"/>
    <w:rsid w:val="009E7492"/>
    <w:rsid w:val="00A14757"/>
    <w:rsid w:val="00A66446"/>
    <w:rsid w:val="00A718CA"/>
    <w:rsid w:val="00BE15F8"/>
    <w:rsid w:val="00BF4FB9"/>
    <w:rsid w:val="00C1085A"/>
    <w:rsid w:val="00C50744"/>
    <w:rsid w:val="00C707B5"/>
    <w:rsid w:val="00CC25A6"/>
    <w:rsid w:val="00E27E26"/>
    <w:rsid w:val="00E9544F"/>
    <w:rsid w:val="00EB2276"/>
    <w:rsid w:val="00EB55B8"/>
    <w:rsid w:val="00EF70E7"/>
    <w:rsid w:val="00F6162B"/>
    <w:rsid w:val="00FA7AF0"/>
    <w:rsid w:val="00FD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90E0"/>
  <w15:chartTrackingRefBased/>
  <w15:docId w15:val="{3B6E19B0-524D-4B1D-8462-E034D569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44"/>
    <w:pPr>
      <w:ind w:left="720"/>
      <w:contextualSpacing/>
    </w:pPr>
  </w:style>
  <w:style w:type="character" w:styleId="PlaceholderText">
    <w:name w:val="Placeholder Text"/>
    <w:basedOn w:val="DefaultParagraphFont"/>
    <w:uiPriority w:val="99"/>
    <w:semiHidden/>
    <w:rsid w:val="00CC2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0D5A-6CCF-41EC-BBC3-7FAB4F83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3</cp:revision>
  <dcterms:created xsi:type="dcterms:W3CDTF">2019-07-01T10:49:00Z</dcterms:created>
  <dcterms:modified xsi:type="dcterms:W3CDTF">2019-07-08T06:25:00Z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zotero-version="5.0.68"&gt;&lt;session id="SJPMj19K"/&gt;&lt;style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