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创建文件a.txt一共100行,每行内容为: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001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002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003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004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005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006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...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file = open("a.txt", "w")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a = 1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while a &lt;= 100: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 xml:space="preserve">    file.write("%03d\n" % a)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 xml:space="preserve">    a += 1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file.close()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1D44EE"/>
    <w:rsid w:val="0B3B6A84"/>
    <w:rsid w:val="0D9F634E"/>
    <w:rsid w:val="0F1A0621"/>
    <w:rsid w:val="116261EB"/>
    <w:rsid w:val="12DB4720"/>
    <w:rsid w:val="1E6F1E23"/>
    <w:rsid w:val="23A04585"/>
    <w:rsid w:val="29DB5CA7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D486642"/>
    <w:rsid w:val="5FBC105A"/>
    <w:rsid w:val="602A302F"/>
    <w:rsid w:val="60740AB3"/>
    <w:rsid w:val="60D7076C"/>
    <w:rsid w:val="61B05AD3"/>
    <w:rsid w:val="624E631A"/>
    <w:rsid w:val="633C0F98"/>
    <w:rsid w:val="65960A2F"/>
    <w:rsid w:val="6D535020"/>
    <w:rsid w:val="6D5A4841"/>
    <w:rsid w:val="702266E9"/>
    <w:rsid w:val="76B30A05"/>
    <w:rsid w:val="7A286AC1"/>
    <w:rsid w:val="7C0142C5"/>
    <w:rsid w:val="7E4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