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17FB7D">
      <w:pPr>
        <w:pStyle w:val="2"/>
        <w:keepNext/>
        <w:keepLines/>
        <w:pageBreakBefore w:val="0"/>
        <w:widowControl w:val="0"/>
        <w:kinsoku/>
        <w:wordWrap/>
        <w:overflowPunct/>
        <w:topLinePunct w:val="0"/>
        <w:autoSpaceDE/>
        <w:autoSpaceDN/>
        <w:bidi w:val="0"/>
        <w:adjustRightInd/>
        <w:snapToGrid/>
        <w:spacing w:before="0" w:after="0" w:line="240" w:lineRule="auto"/>
        <w:jc w:val="center"/>
        <w:textAlignment w:val="auto"/>
        <w:rPr>
          <w:rFonts w:hint="eastAsia" w:ascii="Times New Roman" w:hAnsi="Times New Roman"/>
          <w:sz w:val="36"/>
          <w:szCs w:val="21"/>
        </w:rPr>
      </w:pPr>
      <w:r>
        <w:rPr>
          <w:rFonts w:hint="eastAsia" w:ascii="Times New Roman" w:hAnsi="Times New Roman"/>
          <w:sz w:val="36"/>
          <w:szCs w:val="21"/>
        </w:rPr>
        <w:t>《企业主动披露违规何以引导行业自律发展》审稿意见</w:t>
      </w:r>
    </w:p>
    <w:p w14:paraId="0428C11A">
      <w:pPr>
        <w:ind w:firstLine="420" w:firstLineChars="200"/>
        <w:rPr>
          <w:rFonts w:hint="default" w:ascii="Times New Roman" w:hAnsi="Times New Roman" w:eastAsiaTheme="minorEastAsia"/>
          <w:sz w:val="21"/>
          <w:szCs w:val="21"/>
          <w:lang w:val="en-US" w:eastAsia="zh-CN"/>
        </w:rPr>
      </w:pPr>
      <w:r>
        <w:rPr>
          <w:rFonts w:hint="eastAsia" w:ascii="Times New Roman" w:hAnsi="Times New Roman"/>
          <w:sz w:val="21"/>
          <w:szCs w:val="21"/>
        </w:rPr>
        <w:t>本文探讨了企业主动披露违规行为对同行业其他企业信息披露质量的溢出效应，试图从声誉竞争、市场压力等视角解释这一现象。选题具有一定新颖性，将违规与治理结合的逻辑出发点有趣。然而，经过仔细审查，本文在核心概念界定、样本筛选逻辑等方面存在缺陷，部分问题甚至触及研究结论的根基。目前的实证结果建立在定义模糊且有偏的样本之上，结论的可靠性与外部有效性存疑。建议作者对研究设计进行系统性反思，重新清洗数据，审视核心计量方法，并对机制逻辑进行重构。具体意见如下：</w:t>
      </w:r>
    </w:p>
    <w:p w14:paraId="5324DD97">
      <w:pPr>
        <w:spacing w:line="360" w:lineRule="auto"/>
        <w:ind w:firstLine="482" w:firstLineChars="200"/>
        <w:jc w:val="left"/>
        <w:rPr>
          <w:rFonts w:hint="default" w:ascii="Times New Roman" w:hAnsi="Times New Roman" w:eastAsiaTheme="minorEastAsia"/>
          <w:b/>
          <w:bCs/>
          <w:sz w:val="24"/>
          <w:szCs w:val="24"/>
          <w:lang w:val="en-US" w:eastAsia="zh-CN"/>
        </w:rPr>
      </w:pPr>
      <w:r>
        <w:rPr>
          <w:rFonts w:hint="default" w:ascii="Times New Roman" w:hAnsi="Times New Roman" w:eastAsiaTheme="minorEastAsia"/>
          <w:b/>
          <w:bCs/>
          <w:sz w:val="24"/>
          <w:szCs w:val="24"/>
          <w:lang w:val="en-US" w:eastAsia="zh-CN"/>
        </w:rPr>
        <w:t>一、核心概念界定与理论逻辑</w:t>
      </w:r>
    </w:p>
    <w:p w14:paraId="39448424">
      <w:pPr>
        <w:ind w:firstLine="420" w:firstLineChars="200"/>
        <w:rPr>
          <w:rFonts w:hint="default" w:ascii="Times New Roman" w:hAnsi="Times New Roman" w:eastAsiaTheme="minorEastAsia"/>
          <w:sz w:val="21"/>
          <w:szCs w:val="21"/>
          <w:lang w:val="en-US" w:eastAsia="zh-CN"/>
        </w:rPr>
      </w:pPr>
      <w:r>
        <w:rPr>
          <w:rFonts w:hint="default" w:ascii="Times New Roman" w:hAnsi="Times New Roman" w:eastAsiaTheme="minorEastAsia"/>
          <w:sz w:val="21"/>
          <w:szCs w:val="21"/>
          <w:lang w:val="en-US" w:eastAsia="zh-CN"/>
        </w:rPr>
        <w:t>文章在解释实证结果时出现了逻辑断裂和理论前后矛盾，导致全篇的核心故事线无法闭环。在排除信息传导机制部分第22页（表13）中作者写道：</w:t>
      </w:r>
      <w:r>
        <w:rPr>
          <w:rFonts w:hint="eastAsia" w:ascii="Times New Roman" w:hAnsi="Times New Roman"/>
          <w:sz w:val="21"/>
          <w:szCs w:val="21"/>
          <w:lang w:val="en-US" w:eastAsia="zh-CN"/>
        </w:rPr>
        <w:t>“</w:t>
      </w:r>
      <w:r>
        <w:rPr>
          <w:rFonts w:hint="default" w:ascii="Times New Roman" w:hAnsi="Times New Roman" w:eastAsiaTheme="minorEastAsia"/>
          <w:sz w:val="21"/>
          <w:szCs w:val="21"/>
          <w:lang w:val="en-US" w:eastAsia="zh-CN"/>
        </w:rPr>
        <w:t>可能是因为样本事件公司所披露的违规公告大多仅简述了违规主体和违规行为，而没有描述具体的违规细节</w:t>
      </w:r>
      <w:r>
        <w:rPr>
          <w:rFonts w:hint="eastAsia" w:ascii="Times New Roman" w:hAnsi="Times New Roman"/>
          <w:sz w:val="21"/>
          <w:szCs w:val="21"/>
          <w:lang w:val="en-US" w:eastAsia="zh-CN"/>
        </w:rPr>
        <w:t>”。在检验违规严重程度的异质性时（表16），作者发现违规金额高低对同行的溢出效应无显著差异，并解释为“造成该检验不存在差异的原因可能是整体违规所涉金额差异不大，对社会的危害程度均不是很高，信息含量相对较少。”</w:t>
      </w:r>
    </w:p>
    <w:p w14:paraId="4CD6281E">
      <w:pPr>
        <w:ind w:firstLine="420" w:firstLineChars="200"/>
        <w:rPr>
          <w:rFonts w:hint="default" w:ascii="Times New Roman" w:hAnsi="Times New Roman" w:eastAsiaTheme="minorEastAsia"/>
          <w:sz w:val="21"/>
          <w:szCs w:val="21"/>
          <w:lang w:val="en-US" w:eastAsia="zh-CN"/>
        </w:rPr>
      </w:pPr>
      <w:r>
        <w:rPr>
          <w:rFonts w:hint="default" w:ascii="Times New Roman" w:hAnsi="Times New Roman" w:eastAsiaTheme="minorEastAsia"/>
          <w:sz w:val="21"/>
          <w:szCs w:val="21"/>
          <w:lang w:val="en-US" w:eastAsia="zh-CN"/>
        </w:rPr>
        <w:t>这些解释</w:t>
      </w:r>
      <w:r>
        <w:rPr>
          <w:rFonts w:hint="eastAsia" w:ascii="Times New Roman" w:hAnsi="Times New Roman"/>
          <w:sz w:val="21"/>
          <w:szCs w:val="21"/>
          <w:lang w:val="en-US" w:eastAsia="zh-CN"/>
        </w:rPr>
        <w:t>让人对</w:t>
      </w:r>
      <w:r>
        <w:rPr>
          <w:rFonts w:hint="default" w:ascii="Times New Roman" w:hAnsi="Times New Roman" w:eastAsiaTheme="minorEastAsia"/>
          <w:sz w:val="21"/>
          <w:szCs w:val="21"/>
          <w:lang w:val="en-US" w:eastAsia="zh-CN"/>
        </w:rPr>
        <w:t>全文研究前提</w:t>
      </w:r>
      <w:r>
        <w:rPr>
          <w:rFonts w:hint="eastAsia" w:ascii="Times New Roman" w:hAnsi="Times New Roman"/>
          <w:sz w:val="21"/>
          <w:szCs w:val="21"/>
          <w:lang w:val="en-US" w:eastAsia="zh-CN"/>
        </w:rPr>
        <w:t>产生了疑问</w:t>
      </w:r>
      <w:r>
        <w:rPr>
          <w:rFonts w:hint="default" w:ascii="Times New Roman" w:hAnsi="Times New Roman" w:eastAsiaTheme="minorEastAsia"/>
          <w:sz w:val="21"/>
          <w:szCs w:val="21"/>
          <w:lang w:val="en-US" w:eastAsia="zh-CN"/>
        </w:rPr>
        <w:t>：如果样本中的违规事件大多是</w:t>
      </w:r>
      <w:r>
        <w:rPr>
          <w:rFonts w:hint="eastAsia" w:ascii="Times New Roman" w:hAnsi="Times New Roman"/>
          <w:sz w:val="21"/>
          <w:szCs w:val="21"/>
          <w:lang w:val="en-US" w:eastAsia="zh-CN"/>
        </w:rPr>
        <w:t>“</w:t>
      </w:r>
      <w:r>
        <w:rPr>
          <w:rFonts w:hint="default" w:ascii="Times New Roman" w:hAnsi="Times New Roman" w:eastAsiaTheme="minorEastAsia"/>
          <w:sz w:val="21"/>
          <w:szCs w:val="21"/>
          <w:lang w:val="en-US" w:eastAsia="zh-CN"/>
        </w:rPr>
        <w:t>危害不高、信息含量少</w:t>
      </w:r>
      <w:r>
        <w:rPr>
          <w:rFonts w:hint="eastAsia" w:ascii="Times New Roman" w:hAnsi="Times New Roman"/>
          <w:sz w:val="21"/>
          <w:szCs w:val="21"/>
          <w:lang w:val="en-US" w:eastAsia="zh-CN"/>
        </w:rPr>
        <w:t>”</w:t>
      </w:r>
      <w:r>
        <w:rPr>
          <w:rFonts w:hint="default" w:ascii="Times New Roman" w:hAnsi="Times New Roman" w:eastAsiaTheme="minorEastAsia"/>
          <w:sz w:val="21"/>
          <w:szCs w:val="21"/>
          <w:lang w:val="en-US" w:eastAsia="zh-CN"/>
        </w:rPr>
        <w:t>的轻微事项，那么这类低成本的廉价信号何以引发市场的强烈正向反应？作者在图3和表10中极力证明主动披露带来了显著的正向累计超额收益（CAR &gt; 0），并将此作为声誉机制生效的前提。然而一个</w:t>
      </w:r>
      <w:r>
        <w:rPr>
          <w:rFonts w:hint="eastAsia" w:ascii="Times New Roman" w:hAnsi="Times New Roman"/>
          <w:sz w:val="21"/>
          <w:szCs w:val="21"/>
          <w:lang w:val="en-US" w:eastAsia="zh-CN"/>
        </w:rPr>
        <w:t>“</w:t>
      </w:r>
      <w:r>
        <w:rPr>
          <w:rFonts w:hint="default" w:ascii="Times New Roman" w:hAnsi="Times New Roman" w:eastAsiaTheme="minorEastAsia"/>
          <w:sz w:val="21"/>
          <w:szCs w:val="21"/>
          <w:lang w:val="en-US" w:eastAsia="zh-CN"/>
        </w:rPr>
        <w:t>危害不高、信息含量少</w:t>
      </w:r>
      <w:r>
        <w:rPr>
          <w:rFonts w:hint="eastAsia" w:ascii="Times New Roman" w:hAnsi="Times New Roman"/>
          <w:sz w:val="21"/>
          <w:szCs w:val="21"/>
          <w:lang w:val="en-US" w:eastAsia="zh-CN"/>
        </w:rPr>
        <w:t>”</w:t>
      </w:r>
      <w:r>
        <w:rPr>
          <w:rFonts w:hint="default" w:ascii="Times New Roman" w:hAnsi="Times New Roman" w:eastAsiaTheme="minorEastAsia"/>
          <w:sz w:val="21"/>
          <w:szCs w:val="21"/>
          <w:lang w:val="en-US" w:eastAsia="zh-CN"/>
        </w:rPr>
        <w:t>的违规披露，其成本几乎可以忽略，市场为何要给予显著的正向回报？作者或许会辩称</w:t>
      </w:r>
      <w:r>
        <w:rPr>
          <w:rFonts w:hint="eastAsia" w:ascii="Times New Roman" w:hAnsi="Times New Roman"/>
          <w:sz w:val="21"/>
          <w:szCs w:val="21"/>
          <w:lang w:val="en-US" w:eastAsia="zh-CN"/>
        </w:rPr>
        <w:t>，</w:t>
      </w:r>
      <w:r>
        <w:rPr>
          <w:rFonts w:hint="default" w:ascii="Times New Roman" w:hAnsi="Times New Roman" w:eastAsiaTheme="minorEastAsia"/>
          <w:sz w:val="21"/>
          <w:szCs w:val="21"/>
          <w:lang w:val="en-US" w:eastAsia="zh-CN"/>
        </w:rPr>
        <w:t>市场奖励的是</w:t>
      </w:r>
      <w:r>
        <w:rPr>
          <w:rFonts w:hint="eastAsia" w:ascii="Times New Roman" w:hAnsi="Times New Roman"/>
          <w:sz w:val="21"/>
          <w:szCs w:val="21"/>
          <w:lang w:val="en-US" w:eastAsia="zh-CN"/>
        </w:rPr>
        <w:t>“</w:t>
      </w:r>
      <w:r>
        <w:rPr>
          <w:rFonts w:hint="default" w:ascii="Times New Roman" w:hAnsi="Times New Roman" w:eastAsiaTheme="minorEastAsia"/>
          <w:sz w:val="21"/>
          <w:szCs w:val="21"/>
          <w:lang w:val="en-US" w:eastAsia="zh-CN"/>
        </w:rPr>
        <w:t>敢于主动坦白</w:t>
      </w:r>
      <w:r>
        <w:rPr>
          <w:rFonts w:hint="eastAsia" w:ascii="Times New Roman" w:hAnsi="Times New Roman"/>
          <w:sz w:val="21"/>
          <w:szCs w:val="21"/>
          <w:lang w:val="en-US" w:eastAsia="zh-CN"/>
        </w:rPr>
        <w:t>”</w:t>
      </w:r>
      <w:r>
        <w:rPr>
          <w:rFonts w:hint="default" w:ascii="Times New Roman" w:hAnsi="Times New Roman" w:eastAsiaTheme="minorEastAsia"/>
          <w:sz w:val="21"/>
          <w:szCs w:val="21"/>
          <w:lang w:val="en-US" w:eastAsia="zh-CN"/>
        </w:rPr>
        <w:t>这一行为本身，而非违规内容的信息含量。这一辩解在理论上可以成立，但它要求作者在全文中始终清晰区分</w:t>
      </w:r>
      <w:r>
        <w:rPr>
          <w:rFonts w:hint="eastAsia" w:ascii="Times New Roman" w:hAnsi="Times New Roman"/>
          <w:sz w:val="21"/>
          <w:szCs w:val="21"/>
          <w:lang w:val="en-US" w:eastAsia="zh-CN"/>
        </w:rPr>
        <w:t>“</w:t>
      </w:r>
      <w:r>
        <w:rPr>
          <w:rFonts w:hint="default" w:ascii="Times New Roman" w:hAnsi="Times New Roman" w:eastAsiaTheme="minorEastAsia"/>
          <w:sz w:val="21"/>
          <w:szCs w:val="21"/>
          <w:lang w:val="en-US" w:eastAsia="zh-CN"/>
        </w:rPr>
        <w:t>披露行为的信号效应</w:t>
      </w:r>
      <w:r>
        <w:rPr>
          <w:rFonts w:hint="eastAsia" w:ascii="Times New Roman" w:hAnsi="Times New Roman"/>
          <w:sz w:val="21"/>
          <w:szCs w:val="21"/>
          <w:lang w:val="en-US" w:eastAsia="zh-CN"/>
        </w:rPr>
        <w:t>”</w:t>
      </w:r>
      <w:r>
        <w:rPr>
          <w:rFonts w:hint="default" w:ascii="Times New Roman" w:hAnsi="Times New Roman" w:eastAsiaTheme="minorEastAsia"/>
          <w:sz w:val="21"/>
          <w:szCs w:val="21"/>
          <w:lang w:val="en-US" w:eastAsia="zh-CN"/>
        </w:rPr>
        <w:t>与</w:t>
      </w:r>
      <w:r>
        <w:rPr>
          <w:rFonts w:hint="eastAsia" w:ascii="Times New Roman" w:hAnsi="Times New Roman"/>
          <w:sz w:val="21"/>
          <w:szCs w:val="21"/>
          <w:lang w:val="en-US" w:eastAsia="zh-CN"/>
        </w:rPr>
        <w:t>“</w:t>
      </w:r>
      <w:r>
        <w:rPr>
          <w:rFonts w:hint="default" w:ascii="Times New Roman" w:hAnsi="Times New Roman" w:eastAsiaTheme="minorEastAsia"/>
          <w:sz w:val="21"/>
          <w:szCs w:val="21"/>
          <w:lang w:val="en-US" w:eastAsia="zh-CN"/>
        </w:rPr>
        <w:t>披露内容的信息效应</w:t>
      </w:r>
      <w:r>
        <w:rPr>
          <w:rFonts w:hint="eastAsia" w:ascii="Times New Roman" w:hAnsi="Times New Roman"/>
          <w:sz w:val="21"/>
          <w:szCs w:val="21"/>
          <w:lang w:val="en-US" w:eastAsia="zh-CN"/>
        </w:rPr>
        <w:t>”</w:t>
      </w:r>
      <w:r>
        <w:rPr>
          <w:rFonts w:hint="default" w:ascii="Times New Roman" w:hAnsi="Times New Roman" w:eastAsiaTheme="minorEastAsia"/>
          <w:sz w:val="21"/>
          <w:szCs w:val="21"/>
          <w:lang w:val="en-US" w:eastAsia="zh-CN"/>
        </w:rPr>
        <w:t>。遗憾的是，原文在这两个概念之间反复滑动：需要论证市场正向反应时，强调披露行为的信号价值；需要解释异质性不显著时，又转而淡化披露内容的信息含量。这种按需取用的论证策略，严重损害了理论框架的一致性。</w:t>
      </w:r>
    </w:p>
    <w:p w14:paraId="27668B42">
      <w:pPr>
        <w:ind w:firstLine="420" w:firstLineChars="200"/>
        <w:rPr>
          <w:rFonts w:hint="default" w:ascii="Times New Roman" w:hAnsi="Times New Roman" w:eastAsiaTheme="minorEastAsia"/>
          <w:sz w:val="21"/>
          <w:szCs w:val="21"/>
          <w:lang w:val="en-US" w:eastAsia="zh-CN"/>
        </w:rPr>
      </w:pPr>
      <w:r>
        <w:rPr>
          <w:rFonts w:hint="default" w:ascii="Times New Roman" w:hAnsi="Times New Roman" w:eastAsiaTheme="minorEastAsia"/>
          <w:sz w:val="21"/>
          <w:szCs w:val="21"/>
          <w:lang w:val="en-US" w:eastAsia="zh-CN"/>
        </w:rPr>
        <w:t>建议作者：（1）在理论分析部分明确区分</w:t>
      </w:r>
      <w:r>
        <w:rPr>
          <w:rFonts w:hint="eastAsia" w:ascii="Times New Roman" w:hAnsi="Times New Roman"/>
          <w:sz w:val="21"/>
          <w:szCs w:val="21"/>
          <w:lang w:val="en-US" w:eastAsia="zh-CN"/>
        </w:rPr>
        <w:t>“</w:t>
      </w:r>
      <w:r>
        <w:rPr>
          <w:rFonts w:hint="default" w:ascii="Times New Roman" w:hAnsi="Times New Roman" w:eastAsiaTheme="minorEastAsia"/>
          <w:sz w:val="21"/>
          <w:szCs w:val="21"/>
          <w:lang w:val="en-US" w:eastAsia="zh-CN"/>
        </w:rPr>
        <w:t>行为信号</w:t>
      </w:r>
      <w:r>
        <w:rPr>
          <w:rFonts w:hint="eastAsia" w:ascii="Times New Roman" w:hAnsi="Times New Roman"/>
          <w:sz w:val="21"/>
          <w:szCs w:val="21"/>
          <w:lang w:val="en-US" w:eastAsia="zh-CN"/>
        </w:rPr>
        <w:t>”</w:t>
      </w:r>
      <w:r>
        <w:rPr>
          <w:rFonts w:hint="default" w:ascii="Times New Roman" w:hAnsi="Times New Roman" w:eastAsiaTheme="minorEastAsia"/>
          <w:sz w:val="21"/>
          <w:szCs w:val="21"/>
          <w:lang w:val="en-US" w:eastAsia="zh-CN"/>
        </w:rPr>
        <w:t>与</w:t>
      </w:r>
      <w:r>
        <w:rPr>
          <w:rFonts w:hint="eastAsia" w:ascii="Times New Roman" w:hAnsi="Times New Roman"/>
          <w:sz w:val="21"/>
          <w:szCs w:val="21"/>
          <w:lang w:val="en-US" w:eastAsia="zh-CN"/>
        </w:rPr>
        <w:t>“</w:t>
      </w:r>
      <w:r>
        <w:rPr>
          <w:rFonts w:hint="default" w:ascii="Times New Roman" w:hAnsi="Times New Roman" w:eastAsiaTheme="minorEastAsia"/>
          <w:sz w:val="21"/>
          <w:szCs w:val="21"/>
          <w:lang w:val="en-US" w:eastAsia="zh-CN"/>
        </w:rPr>
        <w:t>内容信息</w:t>
      </w:r>
      <w:r>
        <w:rPr>
          <w:rFonts w:hint="eastAsia" w:ascii="Times New Roman" w:hAnsi="Times New Roman"/>
          <w:sz w:val="21"/>
          <w:szCs w:val="21"/>
          <w:lang w:val="en-US" w:eastAsia="zh-CN"/>
        </w:rPr>
        <w:t>”</w:t>
      </w:r>
      <w:r>
        <w:rPr>
          <w:rFonts w:hint="default" w:ascii="Times New Roman" w:hAnsi="Times New Roman" w:eastAsiaTheme="minorEastAsia"/>
          <w:sz w:val="21"/>
          <w:szCs w:val="21"/>
          <w:lang w:val="en-US" w:eastAsia="zh-CN"/>
        </w:rPr>
        <w:t>两种效应，并分别推导其作用条件；（2）重新审视样本，如果确如作者所言大多是轻微违规，则需要解释轻微违规何以构成有效信号；（3）程序性违规（如信息披露格式不规范）与实质性违规（如财务造假、资金占用）在性质上截然不同，其信号效应和溢出效应理应存在差异。考虑是否需要按违规类型（程序性违规</w:t>
      </w:r>
      <w:r>
        <w:rPr>
          <w:rFonts w:hint="eastAsia" w:ascii="Times New Roman" w:hAnsi="Times New Roman"/>
          <w:sz w:val="21"/>
          <w:szCs w:val="21"/>
          <w:lang w:val="en-US" w:eastAsia="zh-CN"/>
        </w:rPr>
        <w:t>/</w:t>
      </w:r>
      <w:r>
        <w:rPr>
          <w:rFonts w:hint="default" w:ascii="Times New Roman" w:hAnsi="Times New Roman" w:eastAsiaTheme="minorEastAsia"/>
          <w:sz w:val="21"/>
          <w:szCs w:val="21"/>
          <w:lang w:val="en-US" w:eastAsia="zh-CN"/>
        </w:rPr>
        <w:t>实质性违规）进行分层分析。</w:t>
      </w:r>
    </w:p>
    <w:p w14:paraId="61BE77D5">
      <w:pPr>
        <w:spacing w:line="360" w:lineRule="auto"/>
        <w:ind w:firstLine="482" w:firstLineChars="200"/>
        <w:jc w:val="left"/>
        <w:rPr>
          <w:rFonts w:hint="default" w:ascii="Times New Roman" w:hAnsi="Times New Roman" w:eastAsiaTheme="minorEastAsia"/>
          <w:b/>
          <w:bCs/>
          <w:sz w:val="24"/>
          <w:szCs w:val="24"/>
          <w:lang w:val="en-US" w:eastAsia="zh-CN"/>
        </w:rPr>
      </w:pPr>
      <w:r>
        <w:rPr>
          <w:rFonts w:hint="eastAsia" w:ascii="Times New Roman" w:hAnsi="Times New Roman"/>
          <w:b/>
          <w:bCs/>
          <w:sz w:val="24"/>
          <w:szCs w:val="24"/>
          <w:lang w:val="en-US" w:eastAsia="zh-CN"/>
        </w:rPr>
        <w:t>二、</w:t>
      </w:r>
      <w:r>
        <w:rPr>
          <w:rFonts w:hint="default" w:ascii="Times New Roman" w:hAnsi="Times New Roman" w:eastAsiaTheme="minorEastAsia"/>
          <w:b/>
          <w:bCs/>
          <w:sz w:val="24"/>
          <w:szCs w:val="24"/>
          <w:lang w:val="en-US" w:eastAsia="zh-CN"/>
        </w:rPr>
        <w:t>样本选择与外部有效性</w:t>
      </w:r>
    </w:p>
    <w:p w14:paraId="3512EA9E">
      <w:pPr>
        <w:widowControl w:val="0"/>
        <w:numPr>
          <w:ilvl w:val="0"/>
          <w:numId w:val="0"/>
        </w:numPr>
        <w:jc w:val="both"/>
        <w:rPr>
          <w:rFonts w:hint="eastAsia" w:ascii="Times New Roman" w:hAnsi="Times New Roman"/>
          <w:sz w:val="21"/>
          <w:szCs w:val="21"/>
          <w:lang w:val="en-US" w:eastAsia="zh-CN"/>
        </w:rPr>
      </w:pPr>
      <w:r>
        <w:rPr>
          <w:rFonts w:hint="eastAsia" w:ascii="Times New Roman" w:hAnsi="Times New Roman"/>
          <w:sz w:val="21"/>
          <w:szCs w:val="21"/>
          <w:lang w:val="en-US" w:eastAsia="zh-CN"/>
        </w:rPr>
        <w:t xml:space="preserve">   </w:t>
      </w:r>
      <w:r>
        <w:rPr>
          <w:rFonts w:hint="eastAsia" w:ascii="Times New Roman" w:hAnsi="Times New Roman"/>
          <w:b/>
          <w:bCs/>
          <w:sz w:val="21"/>
          <w:szCs w:val="21"/>
          <w:lang w:val="en-US" w:eastAsia="zh-CN"/>
        </w:rPr>
        <w:t xml:space="preserve"> 1.样本筛选标准导致的偏差</w:t>
      </w:r>
    </w:p>
    <w:p w14:paraId="71F0B8F9">
      <w:pPr>
        <w:widowControl w:val="0"/>
        <w:numPr>
          <w:ilvl w:val="0"/>
          <w:numId w:val="0"/>
        </w:numPr>
        <w:ind w:firstLine="420" w:firstLineChars="200"/>
        <w:jc w:val="both"/>
        <w:rPr>
          <w:rFonts w:hint="default" w:ascii="Times New Roman" w:hAnsi="Times New Roman"/>
          <w:sz w:val="21"/>
          <w:szCs w:val="21"/>
          <w:lang w:val="en-US" w:eastAsia="zh-CN"/>
        </w:rPr>
      </w:pPr>
      <w:r>
        <w:rPr>
          <w:rFonts w:hint="default" w:ascii="Times New Roman" w:hAnsi="Times New Roman"/>
          <w:sz w:val="21"/>
          <w:szCs w:val="21"/>
          <w:lang w:val="en-US" w:eastAsia="zh-CN"/>
        </w:rPr>
        <w:t>文章在第6页脚注中的样本筛选标准值得高度警惕。作者要求事件发生前后长达七年的时间窗口（t-5至t+2）内，同行业不得存在第二次主动披露违规。这一看似追求</w:t>
      </w:r>
      <w:r>
        <w:rPr>
          <w:rFonts w:hint="eastAsia" w:ascii="Times New Roman" w:hAnsi="Times New Roman"/>
          <w:sz w:val="21"/>
          <w:szCs w:val="21"/>
          <w:lang w:val="en-US" w:eastAsia="zh-CN"/>
        </w:rPr>
        <w:t>“</w:t>
      </w:r>
      <w:r>
        <w:rPr>
          <w:rFonts w:hint="default" w:ascii="Times New Roman" w:hAnsi="Times New Roman"/>
          <w:sz w:val="21"/>
          <w:szCs w:val="21"/>
          <w:lang w:val="en-US" w:eastAsia="zh-CN"/>
        </w:rPr>
        <w:t>干净识别</w:t>
      </w:r>
      <w:r>
        <w:rPr>
          <w:rFonts w:hint="eastAsia" w:ascii="Times New Roman" w:hAnsi="Times New Roman"/>
          <w:sz w:val="21"/>
          <w:szCs w:val="21"/>
          <w:lang w:val="en-US" w:eastAsia="zh-CN"/>
        </w:rPr>
        <w:t>”</w:t>
      </w:r>
      <w:r>
        <w:rPr>
          <w:rFonts w:hint="default" w:ascii="Times New Roman" w:hAnsi="Times New Roman"/>
          <w:sz w:val="21"/>
          <w:szCs w:val="21"/>
          <w:lang w:val="en-US" w:eastAsia="zh-CN"/>
        </w:rPr>
        <w:t>的设计，实际上可能导致严重的样本选择偏差。中国A股市场的违规事件呈现明显的行业集中爆发和周期性整治特征。以近年为例，房地产行业的资金占用违规、医药行业的商业贿赂、化工行业的环保违规等，往往在监管重点整治期间集中曝光。这些恰恰是市场关注度最高、溢出效应最可能显著的大事件。然而，按照作者的筛选标准，这些行业几乎必然被剔除——因为在监管风暴期间，同行业多家企业集中披露的概率极高。最终保留的样本，很可能是那些处于监管视野边缘、违规偶发的冷门行业。在这些行业中，企业之间的竞争关联度本就较低，声誉竞争机制和市场压力机制的作用空间有限</w:t>
      </w:r>
      <w:r>
        <w:rPr>
          <w:rFonts w:hint="eastAsia" w:ascii="Times New Roman" w:hAnsi="Times New Roman"/>
          <w:sz w:val="21"/>
          <w:szCs w:val="21"/>
          <w:lang w:val="en-US" w:eastAsia="zh-CN"/>
        </w:rPr>
        <w:t>，</w:t>
      </w:r>
      <w:r>
        <w:rPr>
          <w:rFonts w:hint="default" w:ascii="Times New Roman" w:hAnsi="Times New Roman"/>
          <w:sz w:val="21"/>
          <w:szCs w:val="21"/>
          <w:lang w:val="en-US" w:eastAsia="zh-CN"/>
        </w:rPr>
        <w:t>用这样的样本得出主动披露违规促进行业信息披露改善的结论，其外部有效性令人存疑。</w:t>
      </w:r>
    </w:p>
    <w:p w14:paraId="0A57AC3E">
      <w:pPr>
        <w:widowControl w:val="0"/>
        <w:numPr>
          <w:ilvl w:val="0"/>
          <w:numId w:val="0"/>
        </w:numPr>
        <w:ind w:firstLine="420" w:firstLineChars="200"/>
        <w:jc w:val="both"/>
        <w:rPr>
          <w:rFonts w:hint="default" w:ascii="Times New Roman" w:hAnsi="Times New Roman"/>
          <w:sz w:val="21"/>
          <w:szCs w:val="21"/>
          <w:lang w:val="en-US" w:eastAsia="zh-CN"/>
        </w:rPr>
      </w:pPr>
      <w:r>
        <w:rPr>
          <w:rFonts w:hint="default" w:ascii="Times New Roman" w:hAnsi="Times New Roman"/>
          <w:sz w:val="21"/>
          <w:szCs w:val="21"/>
          <w:lang w:val="en-US" w:eastAsia="zh-CN"/>
        </w:rPr>
        <w:t>建议作者：（1）在正文中明确报告最终进入回归的独立行业事件数量，让读者判断样本的代表性；（2）考虑将短期内同一行业多家企业的集中披露视为一个事件进行处理，而非简单剔除；（3）报告被剔除行业的分布特征，讨论样本选择对结论的潜在影响。</w:t>
      </w:r>
    </w:p>
    <w:p w14:paraId="59E1437C">
      <w:pPr>
        <w:widowControl w:val="0"/>
        <w:numPr>
          <w:ilvl w:val="0"/>
          <w:numId w:val="0"/>
        </w:numPr>
        <w:ind w:firstLine="422" w:firstLineChars="200"/>
        <w:jc w:val="both"/>
        <w:rPr>
          <w:rFonts w:hint="default" w:ascii="Times New Roman" w:hAnsi="Times New Roman"/>
          <w:b/>
          <w:bCs/>
          <w:sz w:val="21"/>
          <w:szCs w:val="21"/>
          <w:lang w:val="en-US" w:eastAsia="zh-CN"/>
        </w:rPr>
      </w:pPr>
      <w:r>
        <w:rPr>
          <w:rFonts w:hint="eastAsia" w:ascii="Times New Roman" w:hAnsi="Times New Roman"/>
          <w:b/>
          <w:bCs/>
          <w:sz w:val="21"/>
          <w:szCs w:val="21"/>
          <w:lang w:val="en-US" w:eastAsia="zh-CN"/>
        </w:rPr>
        <w:t>2.</w:t>
      </w:r>
      <w:r>
        <w:rPr>
          <w:rFonts w:hint="default" w:ascii="Times New Roman" w:hAnsi="Times New Roman"/>
          <w:b/>
          <w:bCs/>
          <w:sz w:val="21"/>
          <w:szCs w:val="21"/>
          <w:lang w:val="en-US" w:eastAsia="zh-CN"/>
        </w:rPr>
        <w:t>事件公司自身效应的基准缺失</w:t>
      </w:r>
    </w:p>
    <w:p w14:paraId="7AB81B4D">
      <w:pPr>
        <w:widowControl w:val="0"/>
        <w:numPr>
          <w:ilvl w:val="0"/>
          <w:numId w:val="0"/>
        </w:numPr>
        <w:ind w:firstLine="420" w:firstLineChars="200"/>
        <w:jc w:val="both"/>
        <w:rPr>
          <w:rFonts w:hint="default" w:ascii="Times New Roman" w:hAnsi="Times New Roman"/>
          <w:sz w:val="21"/>
          <w:szCs w:val="21"/>
          <w:lang w:val="en-US" w:eastAsia="zh-CN"/>
        </w:rPr>
      </w:pPr>
      <w:r>
        <w:rPr>
          <w:rFonts w:hint="default" w:ascii="Times New Roman" w:hAnsi="Times New Roman"/>
          <w:sz w:val="21"/>
          <w:szCs w:val="21"/>
          <w:lang w:val="en-US" w:eastAsia="zh-CN"/>
        </w:rPr>
        <w:t>原文在样本筛选时剔除了主动披露违规的公司样本，仅研究同行业其他企业的反应。这一做法在技术上可以理解，但从因果链条的完整性来看存在重大缺口。如果要论证</w:t>
      </w:r>
      <w:r>
        <w:rPr>
          <w:rFonts w:hint="eastAsia" w:ascii="Times New Roman" w:hAnsi="Times New Roman"/>
          <w:sz w:val="21"/>
          <w:szCs w:val="21"/>
          <w:lang w:val="en-US" w:eastAsia="zh-CN"/>
        </w:rPr>
        <w:t>“</w:t>
      </w:r>
      <w:r>
        <w:rPr>
          <w:rFonts w:hint="default" w:ascii="Times New Roman" w:hAnsi="Times New Roman"/>
          <w:sz w:val="21"/>
          <w:szCs w:val="21"/>
          <w:lang w:val="en-US" w:eastAsia="zh-CN"/>
        </w:rPr>
        <w:t>主动披露违规→同行业企业信息披露质量提升</w:t>
      </w:r>
      <w:r>
        <w:rPr>
          <w:rFonts w:hint="eastAsia" w:ascii="Times New Roman" w:hAnsi="Times New Roman"/>
          <w:sz w:val="21"/>
          <w:szCs w:val="21"/>
          <w:lang w:val="en-US" w:eastAsia="zh-CN"/>
        </w:rPr>
        <w:t>”</w:t>
      </w:r>
      <w:r>
        <w:rPr>
          <w:rFonts w:hint="default" w:ascii="Times New Roman" w:hAnsi="Times New Roman"/>
          <w:sz w:val="21"/>
          <w:szCs w:val="21"/>
          <w:lang w:val="en-US" w:eastAsia="zh-CN"/>
        </w:rPr>
        <w:t>这一溢出效应，逻辑上首先应该检验</w:t>
      </w:r>
      <w:r>
        <w:rPr>
          <w:rFonts w:hint="eastAsia" w:ascii="Times New Roman" w:hAnsi="Times New Roman"/>
          <w:sz w:val="21"/>
          <w:szCs w:val="21"/>
          <w:lang w:val="en-US" w:eastAsia="zh-CN"/>
        </w:rPr>
        <w:t>“</w:t>
      </w:r>
      <w:r>
        <w:rPr>
          <w:rFonts w:hint="default" w:ascii="Times New Roman" w:hAnsi="Times New Roman"/>
          <w:sz w:val="21"/>
          <w:szCs w:val="21"/>
          <w:lang w:val="en-US" w:eastAsia="zh-CN"/>
        </w:rPr>
        <w:t>主动披露违规→事件公司自身信息披露质量变化</w:t>
      </w:r>
      <w:r>
        <w:rPr>
          <w:rFonts w:hint="eastAsia" w:ascii="Times New Roman" w:hAnsi="Times New Roman"/>
          <w:sz w:val="21"/>
          <w:szCs w:val="21"/>
          <w:lang w:val="en-US" w:eastAsia="zh-CN"/>
        </w:rPr>
        <w:t>”</w:t>
      </w:r>
      <w:r>
        <w:rPr>
          <w:rFonts w:hint="default" w:ascii="Times New Roman" w:hAnsi="Times New Roman"/>
          <w:sz w:val="21"/>
          <w:szCs w:val="21"/>
          <w:lang w:val="en-US" w:eastAsia="zh-CN"/>
        </w:rPr>
        <w:t>这一直接效应。若事件公司在主动披露后，其自身的信息披露质量并无改善甚至出现下降，那么同行业企业为何要模仿一个对当事人自身无益的行为？声誉竞争机制的前提是该行为值得竞争，若当事人都未从中获益，何来竞争可言？建议作者补充事件公司自身在主动披露前后信息披露质量变化的分析，作为溢出效应检验的逻辑前提。</w:t>
      </w:r>
    </w:p>
    <w:p w14:paraId="741F6DFF">
      <w:pPr>
        <w:spacing w:line="360" w:lineRule="auto"/>
        <w:ind w:firstLine="482" w:firstLineChars="200"/>
        <w:jc w:val="left"/>
        <w:rPr>
          <w:rFonts w:hint="default" w:ascii="Times New Roman" w:hAnsi="Times New Roman" w:eastAsiaTheme="minorEastAsia"/>
          <w:b/>
          <w:bCs/>
          <w:sz w:val="24"/>
          <w:szCs w:val="24"/>
          <w:lang w:val="en-US" w:eastAsia="zh-CN"/>
        </w:rPr>
      </w:pPr>
      <w:r>
        <w:rPr>
          <w:rFonts w:hint="eastAsia" w:ascii="Times New Roman" w:hAnsi="Times New Roman"/>
          <w:b/>
          <w:bCs/>
          <w:sz w:val="24"/>
          <w:szCs w:val="24"/>
          <w:lang w:val="en-US" w:eastAsia="zh-CN"/>
        </w:rPr>
        <w:t>三、</w:t>
      </w:r>
      <w:r>
        <w:rPr>
          <w:rFonts w:hint="default" w:ascii="Times New Roman" w:hAnsi="Times New Roman" w:eastAsiaTheme="minorEastAsia"/>
          <w:b/>
          <w:bCs/>
          <w:sz w:val="24"/>
          <w:szCs w:val="24"/>
          <w:lang w:val="en-US" w:eastAsia="zh-CN"/>
        </w:rPr>
        <w:t>变量构造与指标有效性</w:t>
      </w:r>
    </w:p>
    <w:p w14:paraId="51DE9B8F">
      <w:pPr>
        <w:ind w:firstLine="422" w:firstLineChars="200"/>
        <w:rPr>
          <w:rFonts w:hint="default" w:ascii="Times New Roman" w:hAnsi="Times New Roman" w:eastAsiaTheme="minorEastAsia"/>
          <w:b/>
          <w:bCs/>
          <w:sz w:val="21"/>
          <w:szCs w:val="21"/>
          <w:lang w:val="en-US" w:eastAsia="zh-CN"/>
        </w:rPr>
      </w:pPr>
      <w:r>
        <w:rPr>
          <w:rFonts w:hint="eastAsia" w:ascii="Times New Roman" w:hAnsi="Times New Roman"/>
          <w:b/>
          <w:bCs/>
          <w:sz w:val="21"/>
          <w:szCs w:val="21"/>
          <w:lang w:val="en-US" w:eastAsia="zh-CN"/>
        </w:rPr>
        <w:t>1.</w:t>
      </w:r>
      <w:r>
        <w:rPr>
          <w:rFonts w:hint="default" w:ascii="Times New Roman" w:hAnsi="Times New Roman" w:eastAsiaTheme="minorEastAsia"/>
          <w:b/>
          <w:bCs/>
          <w:sz w:val="21"/>
          <w:szCs w:val="21"/>
          <w:lang w:val="en-US" w:eastAsia="zh-CN"/>
        </w:rPr>
        <w:t>KV指数作为信息披露质量代理变量的局限性</w:t>
      </w:r>
    </w:p>
    <w:p w14:paraId="3BF5EC29">
      <w:pPr>
        <w:ind w:firstLine="420" w:firstLineChars="200"/>
        <w:rPr>
          <w:rFonts w:hint="default" w:ascii="Times New Roman" w:hAnsi="Times New Roman" w:eastAsiaTheme="minorEastAsia"/>
          <w:sz w:val="21"/>
          <w:szCs w:val="21"/>
          <w:lang w:val="en-US" w:eastAsia="zh-CN"/>
        </w:rPr>
      </w:pPr>
      <w:r>
        <w:rPr>
          <w:rFonts w:hint="eastAsia" w:ascii="Times New Roman" w:hAnsi="Times New Roman"/>
          <w:sz w:val="21"/>
          <w:szCs w:val="21"/>
          <w:lang w:val="en-US" w:eastAsia="zh-CN"/>
        </w:rPr>
        <w:t>本文题目</w:t>
      </w:r>
      <w:r>
        <w:rPr>
          <w:rFonts w:hint="default" w:ascii="Times New Roman" w:hAnsi="Times New Roman" w:eastAsiaTheme="minorEastAsia"/>
          <w:sz w:val="21"/>
          <w:szCs w:val="21"/>
          <w:lang w:val="en-US" w:eastAsia="zh-CN"/>
        </w:rPr>
        <w:t>暗示的是一种长期的、结构性的行业治理改善。然而，作者用以度量这一自律发展的指标，仅仅是同行业企业当年度的KV指数变化</w:t>
      </w:r>
      <w:r>
        <w:rPr>
          <w:rFonts w:hint="eastAsia" w:ascii="Times New Roman" w:hAnsi="Times New Roman"/>
          <w:sz w:val="21"/>
          <w:szCs w:val="21"/>
          <w:lang w:val="en-US" w:eastAsia="zh-CN"/>
        </w:rPr>
        <w:t>，且该指标</w:t>
      </w:r>
      <w:r>
        <w:rPr>
          <w:rFonts w:hint="default" w:ascii="Times New Roman" w:hAnsi="Times New Roman" w:eastAsiaTheme="minorEastAsia"/>
          <w:sz w:val="21"/>
          <w:szCs w:val="21"/>
          <w:lang w:val="en-US" w:eastAsia="zh-CN"/>
        </w:rPr>
        <w:t>高度依赖于交易量与收益率的波动。在主动披露违规这一重大风险事件冲击下，市场量价关系的变化可能更多反映投资者情绪和交易行为的调整，而非企业信息披露质量的实质性改变。KV指数在近年来的顶级财务会计研究中已经逐渐边缘化，主流研究更倾向于使用更直接的披露质量度量，如年报文本的可读性、信息确定性、管理层讨论与分析的信息含量，或者交易所的信息披露考评等级等。</w:t>
      </w:r>
    </w:p>
    <w:p w14:paraId="05B1A215">
      <w:pPr>
        <w:ind w:firstLine="420" w:firstLineChars="200"/>
        <w:rPr>
          <w:rFonts w:hint="eastAsia" w:ascii="Times New Roman" w:hAnsi="Times New Roman"/>
          <w:sz w:val="21"/>
          <w:szCs w:val="21"/>
          <w:lang w:val="en-US" w:eastAsia="zh-CN"/>
        </w:rPr>
      </w:pPr>
      <w:r>
        <w:rPr>
          <w:rFonts w:hint="eastAsia" w:ascii="Times New Roman" w:hAnsi="Times New Roman"/>
          <w:sz w:val="21"/>
          <w:szCs w:val="21"/>
          <w:lang w:val="en-US" w:eastAsia="zh-CN"/>
        </w:rPr>
        <w:t>建议作者：（1）补充使用文本分析指标（如边江泽等（2025）使用文本确定性和文本信息含量）或交易所信息披露考评等级作为替代被解释变量的稳健性检验。（2）延长观察窗口，补充更能反映行业自律发展的长期指标，如同行业企业后续年度的违规发生率、行业整体的交易所信息披露评级变化、机构投资者持股比例变化等；（3）若数据限制无法支撑行业自律发展这一宏大叙事，建议将标题和研究定位调整为更为审慎的短期溢出效应研究。</w:t>
      </w:r>
    </w:p>
    <w:p w14:paraId="3F7F8BE7">
      <w:pPr>
        <w:ind w:firstLine="422" w:firstLineChars="200"/>
        <w:rPr>
          <w:rFonts w:hint="eastAsia" w:ascii="Times New Roman" w:hAnsi="Times New Roman"/>
          <w:b/>
          <w:bCs/>
          <w:sz w:val="21"/>
          <w:szCs w:val="21"/>
          <w:lang w:val="en-US" w:eastAsia="zh-CN"/>
        </w:rPr>
      </w:pPr>
      <w:r>
        <w:rPr>
          <w:rFonts w:hint="eastAsia" w:ascii="Times New Roman" w:hAnsi="Times New Roman"/>
          <w:b/>
          <w:bCs/>
          <w:sz w:val="21"/>
          <w:szCs w:val="21"/>
          <w:lang w:val="en-US" w:eastAsia="zh-CN"/>
        </w:rPr>
        <w:t>2.“主动披露违规”的识别存在时序漏洞</w:t>
      </w:r>
    </w:p>
    <w:p w14:paraId="5A7A961E">
      <w:pPr>
        <w:ind w:firstLine="420" w:firstLineChars="200"/>
        <w:rPr>
          <w:rFonts w:hint="default" w:ascii="Times New Roman" w:hAnsi="Times New Roman"/>
          <w:sz w:val="21"/>
          <w:szCs w:val="21"/>
          <w:lang w:val="en-US" w:eastAsia="zh-CN"/>
        </w:rPr>
      </w:pPr>
      <w:r>
        <w:rPr>
          <w:rFonts w:hint="eastAsia" w:ascii="Times New Roman" w:hAnsi="Times New Roman"/>
          <w:sz w:val="21"/>
          <w:szCs w:val="21"/>
          <w:lang w:val="en-US" w:eastAsia="zh-CN"/>
        </w:rPr>
        <w:t>作者在第7页将”主动披露”定义为”企业在当年披露了其违规行为，且不存在与该项违规有关的问询或处罚”。但假如企业在某年12月披露违规，而监管处罚在次年1月正式下达，按作者的识别策略该披露仍会被认定为“主动”。由于证监会的行政处罚流程通常需要数月乃至一年以上，企业完全可能是在收到立案调查通知或预判处罚即将下达的情况下进行抢先披露，其本质是“被迫主动”而非”真正主动”。作者反复强调的声誉机制建立在企业出于诚信动机主动坦白的假设之上，但如果相当比例的样本实际上是抢跑式被动披露，则所谓的声誉效应不过是监管威慑效应的变体。两者在政策含义上截然不同，前者支持鼓励主动披露，后者则指向加强监管威慑。建议作者补充披露时点与后续处罚时点（如有）的时间间隔分布；或者剔除那些披露后6个月内即收到处罚或问询的样本，重新进行回归。</w:t>
      </w:r>
    </w:p>
    <w:p w14:paraId="214EB681">
      <w:pPr>
        <w:ind w:firstLine="422" w:firstLineChars="200"/>
        <w:rPr>
          <w:rFonts w:hint="default" w:ascii="Times New Roman" w:hAnsi="Times New Roman" w:eastAsiaTheme="minorEastAsia"/>
          <w:b/>
          <w:bCs/>
          <w:sz w:val="21"/>
          <w:szCs w:val="21"/>
          <w:lang w:val="en-US" w:eastAsia="zh-CN"/>
        </w:rPr>
      </w:pPr>
      <w:r>
        <w:rPr>
          <w:rFonts w:hint="eastAsia" w:ascii="Times New Roman" w:hAnsi="Times New Roman"/>
          <w:b/>
          <w:bCs/>
          <w:sz w:val="21"/>
          <w:szCs w:val="21"/>
          <w:lang w:val="en-US" w:eastAsia="zh-CN"/>
        </w:rPr>
        <w:t>3.</w:t>
      </w:r>
      <w:r>
        <w:rPr>
          <w:rFonts w:hint="default" w:ascii="Times New Roman" w:hAnsi="Times New Roman" w:eastAsiaTheme="minorEastAsia"/>
          <w:b/>
          <w:bCs/>
          <w:sz w:val="21"/>
          <w:szCs w:val="21"/>
          <w:lang w:val="en-US" w:eastAsia="zh-CN"/>
        </w:rPr>
        <w:t>外部融资依赖度（EFD）</w:t>
      </w:r>
      <w:r>
        <w:rPr>
          <w:rFonts w:hint="eastAsia" w:ascii="Times New Roman" w:hAnsi="Times New Roman"/>
          <w:b/>
          <w:bCs/>
          <w:sz w:val="21"/>
          <w:szCs w:val="21"/>
          <w:lang w:val="en-US" w:eastAsia="zh-CN"/>
        </w:rPr>
        <w:t>的</w:t>
      </w:r>
      <w:r>
        <w:rPr>
          <w:rFonts w:hint="default" w:ascii="Times New Roman" w:hAnsi="Times New Roman" w:eastAsiaTheme="minorEastAsia"/>
          <w:b/>
          <w:bCs/>
          <w:sz w:val="21"/>
          <w:szCs w:val="21"/>
          <w:lang w:val="en-US" w:eastAsia="zh-CN"/>
        </w:rPr>
        <w:t>构造</w:t>
      </w:r>
    </w:p>
    <w:p w14:paraId="05EA216C">
      <w:pPr>
        <w:ind w:firstLine="420" w:firstLineChars="200"/>
        <w:rPr>
          <w:rFonts w:hint="default" w:ascii="Times New Roman" w:hAnsi="Times New Roman" w:eastAsiaTheme="minorEastAsia"/>
          <w:sz w:val="21"/>
          <w:szCs w:val="21"/>
          <w:lang w:val="en-US" w:eastAsia="zh-CN"/>
        </w:rPr>
      </w:pPr>
      <w:r>
        <w:rPr>
          <w:rFonts w:hint="eastAsia" w:ascii="Times New Roman" w:hAnsi="Times New Roman"/>
          <w:sz w:val="21"/>
          <w:szCs w:val="21"/>
          <w:lang w:val="en-US" w:eastAsia="zh-CN"/>
        </w:rPr>
        <w:t>在进一步分析表17中，作者使用公司年度层面的财务数据构建EFD指标（资本支出-经营性现金流量净额）/资本支出）。然而，作者引用的Rajan &amp; Zingales （1998）经典方法及后续相关研究都强调该指标为行业层面的长期结构性特征，用于刻画不同行业对外部融资的内在依赖程度差异，而非一家公司的外部融资依赖。公司层面的短期数据包含大量经营噪音，例如一家陷入困境的企业可能因无力融资而被迫削减资本支出，表现为低EFD，但这恰恰反映了其面临的严重融资约束。</w:t>
      </w:r>
    </w:p>
    <w:p w14:paraId="40A20612">
      <w:pPr>
        <w:spacing w:line="360" w:lineRule="auto"/>
        <w:ind w:firstLine="482" w:firstLineChars="200"/>
        <w:jc w:val="left"/>
        <w:rPr>
          <w:rFonts w:hint="default" w:ascii="Times New Roman" w:hAnsi="Times New Roman" w:eastAsiaTheme="minorEastAsia"/>
          <w:b/>
          <w:bCs/>
          <w:sz w:val="24"/>
          <w:szCs w:val="24"/>
          <w:lang w:val="en-US" w:eastAsia="zh-CN"/>
        </w:rPr>
      </w:pPr>
      <w:r>
        <w:rPr>
          <w:rFonts w:hint="eastAsia" w:ascii="Times New Roman" w:hAnsi="Times New Roman" w:eastAsiaTheme="minorEastAsia"/>
          <w:b/>
          <w:bCs/>
          <w:sz w:val="24"/>
          <w:szCs w:val="24"/>
          <w:lang w:val="en-US" w:eastAsia="zh-CN"/>
        </w:rPr>
        <w:t>四、</w:t>
      </w:r>
      <w:r>
        <w:rPr>
          <w:rFonts w:hint="default" w:ascii="Times New Roman" w:hAnsi="Times New Roman" w:eastAsiaTheme="minorEastAsia"/>
          <w:b/>
          <w:bCs/>
          <w:sz w:val="24"/>
          <w:szCs w:val="24"/>
          <w:lang w:val="en-US" w:eastAsia="zh-CN"/>
        </w:rPr>
        <w:t>计量模型设定</w:t>
      </w:r>
      <w:r>
        <w:rPr>
          <w:rFonts w:hint="eastAsia" w:ascii="Times New Roman" w:hAnsi="Times New Roman" w:eastAsiaTheme="minorEastAsia"/>
          <w:b/>
          <w:bCs/>
          <w:sz w:val="24"/>
          <w:szCs w:val="24"/>
          <w:lang w:val="en-US" w:eastAsia="zh-CN"/>
        </w:rPr>
        <w:t>问题</w:t>
      </w:r>
    </w:p>
    <w:p w14:paraId="523D0B56">
      <w:pPr>
        <w:ind w:firstLine="422" w:firstLineChars="200"/>
        <w:rPr>
          <w:rFonts w:hint="eastAsia" w:ascii="Times New Roman" w:hAnsi="Times New Roman"/>
          <w:b/>
          <w:bCs/>
          <w:sz w:val="21"/>
          <w:szCs w:val="21"/>
          <w:lang w:val="en-US" w:eastAsia="zh-CN"/>
        </w:rPr>
      </w:pPr>
      <w:r>
        <w:rPr>
          <w:rFonts w:hint="eastAsia" w:ascii="Times New Roman" w:hAnsi="Times New Roman"/>
          <w:b/>
          <w:bCs/>
          <w:sz w:val="21"/>
          <w:szCs w:val="21"/>
          <w:lang w:val="en-US" w:eastAsia="zh-CN"/>
        </w:rPr>
        <w:t>1.标准误聚类层级</w:t>
      </w:r>
    </w:p>
    <w:p w14:paraId="45CC7A25">
      <w:pPr>
        <w:ind w:firstLine="420" w:firstLineChars="200"/>
        <w:rPr>
          <w:rFonts w:hint="default" w:ascii="Times New Roman" w:hAnsi="Times New Roman" w:eastAsiaTheme="minorEastAsia"/>
          <w:sz w:val="21"/>
          <w:szCs w:val="21"/>
          <w:lang w:val="en-US" w:eastAsia="zh-CN"/>
        </w:rPr>
      </w:pPr>
      <w:r>
        <w:rPr>
          <w:rFonts w:hint="default" w:ascii="Times New Roman" w:hAnsi="Times New Roman" w:eastAsiaTheme="minorEastAsia"/>
          <w:sz w:val="21"/>
          <w:szCs w:val="21"/>
          <w:lang w:val="en-US" w:eastAsia="zh-CN"/>
        </w:rPr>
        <w:t>核心解释变量Peerdumy×POST的处理状态实际上是在行业年度层面定义的——同一行业内所有企业在同一时点共同进入或退出处理状态。然而，作者在第8页明确表示</w:t>
      </w:r>
      <w:r>
        <w:rPr>
          <w:rFonts w:hint="eastAsia" w:ascii="Times New Roman" w:hAnsi="Times New Roman"/>
          <w:sz w:val="21"/>
          <w:szCs w:val="21"/>
          <w:lang w:val="en-US" w:eastAsia="zh-CN"/>
        </w:rPr>
        <w:t>“</w:t>
      </w:r>
      <w:r>
        <w:rPr>
          <w:rFonts w:hint="default" w:ascii="Times New Roman" w:hAnsi="Times New Roman" w:eastAsiaTheme="minorEastAsia"/>
          <w:sz w:val="21"/>
          <w:szCs w:val="21"/>
          <w:lang w:val="en-US" w:eastAsia="zh-CN"/>
        </w:rPr>
        <w:t>本文在公司层面对估计结果的统计标准误进行聚类调整</w:t>
      </w:r>
      <w:r>
        <w:rPr>
          <w:rFonts w:hint="eastAsia" w:ascii="Times New Roman" w:hAnsi="Times New Roman"/>
          <w:sz w:val="21"/>
          <w:szCs w:val="21"/>
          <w:lang w:val="en-US" w:eastAsia="zh-CN"/>
        </w:rPr>
        <w:t>”</w:t>
      </w:r>
      <w:r>
        <w:rPr>
          <w:rFonts w:hint="default" w:ascii="Times New Roman" w:hAnsi="Times New Roman" w:eastAsiaTheme="minorEastAsia"/>
          <w:sz w:val="21"/>
          <w:szCs w:val="21"/>
          <w:lang w:val="en-US" w:eastAsia="zh-CN"/>
        </w:rPr>
        <w:t>。当处理变量的变异层级高于聚类层级时，标准误会被系统性低估，导致t值虚高、显著性膨胀。这是计量经济学中的基本常识。考虑到本文核心结论的显著性并不特别强（如表4中系数为-0.0111，t值为-2.81），聚类层级的选择可能对结论产生实质性影响。建议作者至少在行业层面进行聚类，或使用行业</w:t>
      </w:r>
      <w:r>
        <w:rPr>
          <w:rFonts w:hint="eastAsia" w:ascii="Times New Roman" w:hAnsi="Times New Roman"/>
          <w:sz w:val="21"/>
          <w:szCs w:val="21"/>
          <w:lang w:val="en-US" w:eastAsia="zh-CN"/>
        </w:rPr>
        <w:t>—</w:t>
      </w:r>
      <w:r>
        <w:rPr>
          <w:rFonts w:hint="default" w:ascii="Times New Roman" w:hAnsi="Times New Roman" w:eastAsiaTheme="minorEastAsia"/>
          <w:sz w:val="21"/>
          <w:szCs w:val="21"/>
          <w:lang w:val="en-US" w:eastAsia="zh-CN"/>
        </w:rPr>
        <w:t>年度双重聚类，重新报告所有回归结果。如果显著性在更高层级聚类后消失或大幅削弱，则需要重新评估核心结论的稳健性。</w:t>
      </w:r>
    </w:p>
    <w:p w14:paraId="3BB46A9A">
      <w:pPr>
        <w:ind w:firstLine="422" w:firstLineChars="200"/>
        <w:rPr>
          <w:rFonts w:hint="default" w:ascii="Times New Roman" w:hAnsi="Times New Roman" w:eastAsiaTheme="minorEastAsia"/>
          <w:b/>
          <w:bCs/>
          <w:sz w:val="21"/>
          <w:szCs w:val="21"/>
          <w:lang w:val="en-US" w:eastAsia="zh-CN"/>
        </w:rPr>
      </w:pPr>
      <w:r>
        <w:rPr>
          <w:rFonts w:hint="eastAsia" w:ascii="Times New Roman" w:hAnsi="Times New Roman"/>
          <w:b/>
          <w:bCs/>
          <w:sz w:val="21"/>
          <w:szCs w:val="21"/>
          <w:lang w:val="en-US" w:eastAsia="zh-CN"/>
        </w:rPr>
        <w:t>2.</w:t>
      </w:r>
      <w:r>
        <w:rPr>
          <w:rFonts w:hint="default" w:ascii="Times New Roman" w:hAnsi="Times New Roman" w:eastAsiaTheme="minorEastAsia"/>
          <w:b/>
          <w:bCs/>
          <w:sz w:val="21"/>
          <w:szCs w:val="21"/>
          <w:lang w:val="en-US" w:eastAsia="zh-CN"/>
        </w:rPr>
        <w:t>POST变量定义可能稀释处理效应</w:t>
      </w:r>
    </w:p>
    <w:p w14:paraId="6E9901CF">
      <w:pPr>
        <w:ind w:firstLine="420" w:firstLineChars="200"/>
        <w:rPr>
          <w:rFonts w:hint="default" w:ascii="Times New Roman" w:hAnsi="Times New Roman" w:eastAsiaTheme="minorEastAsia"/>
          <w:sz w:val="21"/>
          <w:szCs w:val="21"/>
          <w:lang w:val="en-US" w:eastAsia="zh-CN"/>
        </w:rPr>
      </w:pPr>
      <w:r>
        <w:rPr>
          <w:rFonts w:hint="default" w:ascii="Times New Roman" w:hAnsi="Times New Roman" w:eastAsiaTheme="minorEastAsia"/>
          <w:sz w:val="21"/>
          <w:szCs w:val="21"/>
          <w:lang w:val="en-US" w:eastAsia="zh-CN"/>
        </w:rPr>
        <w:t>原文将POST在事件发生当年（t年）即取值为1</w:t>
      </w:r>
      <w:r>
        <w:rPr>
          <w:rFonts w:hint="eastAsia" w:ascii="Times New Roman" w:hAnsi="Times New Roman"/>
          <w:sz w:val="21"/>
          <w:szCs w:val="21"/>
          <w:lang w:val="en-US" w:eastAsia="zh-CN"/>
        </w:rPr>
        <w:t>，但实际中</w:t>
      </w:r>
      <w:r>
        <w:rPr>
          <w:rFonts w:hint="default" w:ascii="Times New Roman" w:hAnsi="Times New Roman" w:eastAsiaTheme="minorEastAsia"/>
          <w:sz w:val="21"/>
          <w:szCs w:val="21"/>
          <w:lang w:val="en-US" w:eastAsia="zh-CN"/>
        </w:rPr>
        <w:t>信息传导和企业决策调整需要时间。同行业企业需要观察市场对事件的反应、评估自身面临的压力、调整内部披露策略、最终体现在可测量的指标改善上，合理的反应时滞可能在半年甚至一年以上。将事件当年即纳入POST=1的样本，会将尚未产生效应的观测值混入处理组，从而稀释真实的处理效应估计。表3的事前趋势检验结果恰恰暗示了这一点：Peerdumy×Current的系数为-0.0030且不显著，而Peerdumy×After(t+1)和Peerdumy×After(t+2)才开始显著。这说明处理效应在事件当年尚未显现，主要集中在后续年份。建议作者将事件当年单独处理，或将POST重新定义为仅在t+1年及之后取值为1，检验结果是否更为稳健。</w:t>
      </w:r>
    </w:p>
    <w:p w14:paraId="495AC6AC">
      <w:pPr>
        <w:spacing w:line="360" w:lineRule="auto"/>
        <w:ind w:firstLine="482" w:firstLineChars="200"/>
        <w:jc w:val="left"/>
        <w:rPr>
          <w:rFonts w:hint="default" w:ascii="Times New Roman" w:hAnsi="Times New Roman" w:eastAsiaTheme="minorEastAsia"/>
          <w:b/>
          <w:bCs/>
          <w:sz w:val="24"/>
          <w:szCs w:val="24"/>
          <w:lang w:val="en-US" w:eastAsia="zh-CN"/>
        </w:rPr>
      </w:pPr>
      <w:r>
        <w:rPr>
          <w:rFonts w:hint="eastAsia" w:ascii="Times New Roman" w:hAnsi="Times New Roman"/>
          <w:b/>
          <w:bCs/>
          <w:sz w:val="24"/>
          <w:szCs w:val="24"/>
          <w:lang w:val="en-US" w:eastAsia="zh-CN"/>
        </w:rPr>
        <w:t>五、</w:t>
      </w:r>
      <w:r>
        <w:rPr>
          <w:rFonts w:hint="default" w:ascii="Times New Roman" w:hAnsi="Times New Roman" w:eastAsiaTheme="minorEastAsia"/>
          <w:b/>
          <w:bCs/>
          <w:sz w:val="24"/>
          <w:szCs w:val="24"/>
          <w:lang w:val="en-US" w:eastAsia="zh-CN"/>
        </w:rPr>
        <w:t>机制分析的逻辑漏洞</w:t>
      </w:r>
    </w:p>
    <w:p w14:paraId="19E48337">
      <w:pPr>
        <w:widowControl w:val="0"/>
        <w:numPr>
          <w:ilvl w:val="0"/>
          <w:numId w:val="0"/>
        </w:numPr>
        <w:ind w:firstLine="422" w:firstLineChars="200"/>
        <w:jc w:val="both"/>
        <w:rPr>
          <w:rFonts w:hint="default" w:ascii="Times New Roman" w:hAnsi="Times New Roman" w:eastAsiaTheme="minorEastAsia"/>
          <w:b/>
          <w:bCs/>
          <w:sz w:val="21"/>
          <w:szCs w:val="21"/>
          <w:lang w:val="en-US" w:eastAsia="zh-CN"/>
        </w:rPr>
      </w:pPr>
      <w:r>
        <w:rPr>
          <w:rFonts w:hint="eastAsia" w:ascii="Times New Roman" w:hAnsi="Times New Roman"/>
          <w:b/>
          <w:bCs/>
          <w:sz w:val="21"/>
          <w:szCs w:val="21"/>
          <w:lang w:val="en-US" w:eastAsia="zh-CN"/>
        </w:rPr>
        <w:t>1.</w:t>
      </w:r>
      <w:r>
        <w:rPr>
          <w:rFonts w:hint="default" w:ascii="Times New Roman" w:hAnsi="Times New Roman" w:eastAsiaTheme="minorEastAsia"/>
          <w:b/>
          <w:bCs/>
          <w:sz w:val="21"/>
          <w:szCs w:val="21"/>
          <w:lang w:val="en-US" w:eastAsia="zh-CN"/>
        </w:rPr>
        <w:t>声誉竞争机制检验的样本一致性问题</w:t>
      </w:r>
    </w:p>
    <w:p w14:paraId="0A2F3F63">
      <w:pPr>
        <w:widowControl w:val="0"/>
        <w:numPr>
          <w:ilvl w:val="0"/>
          <w:numId w:val="0"/>
        </w:numPr>
        <w:ind w:firstLine="420" w:firstLineChars="200"/>
        <w:jc w:val="both"/>
        <w:rPr>
          <w:rFonts w:hint="default" w:ascii="Times New Roman" w:hAnsi="Times New Roman" w:eastAsiaTheme="minorEastAsia"/>
          <w:sz w:val="21"/>
          <w:szCs w:val="21"/>
          <w:lang w:val="en-US" w:eastAsia="zh-CN"/>
        </w:rPr>
      </w:pPr>
      <w:r>
        <w:rPr>
          <w:rFonts w:hint="default" w:ascii="Times New Roman" w:hAnsi="Times New Roman" w:eastAsiaTheme="minorEastAsia"/>
          <w:sz w:val="21"/>
          <w:szCs w:val="21"/>
          <w:lang w:val="en-US" w:eastAsia="zh-CN"/>
        </w:rPr>
        <w:t>第五章第18页图3（事件研究法）显示的累计超额收益曲线极其平滑，而表11的机制回归使用的是经过严苛筛选后的子样本。图3的作图样本与表11的回归样本是否一致？如果图3使用了包含所有主动披露事件的全样本，而回归仅使用筛选后的子样本，则存在严重的推断跳跃。作者需明确汇报两者的样本量差异。若回归样本中的事件平均CAR并非显著为正，则声誉竞争机制的前提假设（市场奖励违规披露）在回归样本中并不成立。</w:t>
      </w:r>
    </w:p>
    <w:p w14:paraId="02C64246">
      <w:pPr>
        <w:widowControl w:val="0"/>
        <w:numPr>
          <w:ilvl w:val="0"/>
          <w:numId w:val="0"/>
        </w:numPr>
        <w:ind w:firstLine="422" w:firstLineChars="200"/>
        <w:jc w:val="both"/>
        <w:rPr>
          <w:rFonts w:hint="default" w:ascii="Times New Roman" w:hAnsi="Times New Roman" w:eastAsiaTheme="minorEastAsia"/>
          <w:b/>
          <w:bCs/>
          <w:sz w:val="21"/>
          <w:szCs w:val="21"/>
          <w:lang w:val="en-US" w:eastAsia="zh-CN"/>
        </w:rPr>
      </w:pPr>
      <w:r>
        <w:rPr>
          <w:rFonts w:hint="eastAsia" w:ascii="Times New Roman" w:hAnsi="Times New Roman"/>
          <w:b/>
          <w:bCs/>
          <w:sz w:val="21"/>
          <w:szCs w:val="21"/>
          <w:lang w:val="en-US" w:eastAsia="zh-CN"/>
        </w:rPr>
        <w:t>2.</w:t>
      </w:r>
      <w:r>
        <w:rPr>
          <w:rFonts w:hint="default" w:ascii="Times New Roman" w:hAnsi="Times New Roman" w:eastAsiaTheme="minorEastAsia"/>
          <w:b/>
          <w:bCs/>
          <w:sz w:val="21"/>
          <w:szCs w:val="21"/>
          <w:lang w:val="en-US" w:eastAsia="zh-CN"/>
        </w:rPr>
        <w:t>信息传导机制的排除逻辑存在反向因果</w:t>
      </w:r>
    </w:p>
    <w:p w14:paraId="33D46951">
      <w:pPr>
        <w:widowControl w:val="0"/>
        <w:numPr>
          <w:ilvl w:val="0"/>
          <w:numId w:val="0"/>
        </w:numPr>
        <w:ind w:firstLine="420" w:firstLineChars="200"/>
        <w:jc w:val="both"/>
        <w:rPr>
          <w:rFonts w:hint="default" w:ascii="Times New Roman" w:hAnsi="Times New Roman" w:eastAsiaTheme="minorEastAsia"/>
          <w:sz w:val="21"/>
          <w:szCs w:val="21"/>
          <w:lang w:val="en-US" w:eastAsia="zh-CN"/>
        </w:rPr>
      </w:pPr>
      <w:r>
        <w:rPr>
          <w:rFonts w:hint="default" w:ascii="Times New Roman" w:hAnsi="Times New Roman" w:eastAsiaTheme="minorEastAsia"/>
          <w:sz w:val="21"/>
          <w:szCs w:val="21"/>
          <w:lang w:val="en-US" w:eastAsia="zh-CN"/>
        </w:rPr>
        <w:t>在表13中，作者试图通过同行被处罚次数和处罚力度未显著变化来排除信息传导机制。然而，零处罚或处罚不变，恰恰可能是监管威慑最有效的证明</w:t>
      </w:r>
      <w:r>
        <w:rPr>
          <w:rFonts w:hint="eastAsia" w:ascii="Times New Roman" w:hAnsi="Times New Roman"/>
          <w:sz w:val="21"/>
          <w:szCs w:val="21"/>
          <w:lang w:val="en-US" w:eastAsia="zh-CN"/>
        </w:rPr>
        <w:t>，</w:t>
      </w:r>
      <w:r>
        <w:rPr>
          <w:rFonts w:hint="default" w:ascii="Times New Roman" w:hAnsi="Times New Roman" w:eastAsiaTheme="minorEastAsia"/>
          <w:sz w:val="21"/>
          <w:szCs w:val="21"/>
          <w:lang w:val="en-US" w:eastAsia="zh-CN"/>
        </w:rPr>
        <w:t>正是因为同行企业预见到被查风险上升，主动整改提升了披露质量，所以监管部门反而查不出问题。这是典型的反向因果</w:t>
      </w:r>
      <w:r>
        <w:rPr>
          <w:rFonts w:hint="eastAsia" w:ascii="Times New Roman" w:hAnsi="Times New Roman"/>
          <w:sz w:val="21"/>
          <w:szCs w:val="21"/>
          <w:lang w:val="en-US" w:eastAsia="zh-CN"/>
        </w:rPr>
        <w:t>，</w:t>
      </w:r>
      <w:r>
        <w:rPr>
          <w:rFonts w:hint="default" w:ascii="Times New Roman" w:hAnsi="Times New Roman" w:eastAsiaTheme="minorEastAsia"/>
          <w:sz w:val="21"/>
          <w:szCs w:val="21"/>
          <w:lang w:val="en-US" w:eastAsia="zh-CN"/>
        </w:rPr>
        <w:t>不是</w:t>
      </w:r>
      <w:r>
        <w:rPr>
          <w:rFonts w:hint="eastAsia" w:ascii="Times New Roman" w:hAnsi="Times New Roman"/>
          <w:sz w:val="21"/>
          <w:szCs w:val="21"/>
          <w:lang w:val="en-US" w:eastAsia="zh-CN"/>
        </w:rPr>
        <w:t>“</w:t>
      </w:r>
      <w:r>
        <w:rPr>
          <w:rFonts w:hint="default" w:ascii="Times New Roman" w:hAnsi="Times New Roman" w:eastAsiaTheme="minorEastAsia"/>
          <w:sz w:val="21"/>
          <w:szCs w:val="21"/>
          <w:lang w:val="en-US" w:eastAsia="zh-CN"/>
        </w:rPr>
        <w:t>监管未加强所以信息传导机制不存在</w:t>
      </w:r>
      <w:r>
        <w:rPr>
          <w:rFonts w:hint="eastAsia" w:ascii="Times New Roman" w:hAnsi="Times New Roman"/>
          <w:sz w:val="21"/>
          <w:szCs w:val="21"/>
          <w:lang w:val="en-US" w:eastAsia="zh-CN"/>
        </w:rPr>
        <w:t>”</w:t>
      </w:r>
      <w:r>
        <w:rPr>
          <w:rFonts w:hint="default" w:ascii="Times New Roman" w:hAnsi="Times New Roman" w:eastAsiaTheme="minorEastAsia"/>
          <w:sz w:val="21"/>
          <w:szCs w:val="21"/>
          <w:lang w:val="en-US" w:eastAsia="zh-CN"/>
        </w:rPr>
        <w:t>，而可能是</w:t>
      </w:r>
      <w:r>
        <w:rPr>
          <w:rFonts w:hint="eastAsia" w:ascii="Times New Roman" w:hAnsi="Times New Roman"/>
          <w:sz w:val="21"/>
          <w:szCs w:val="21"/>
          <w:lang w:val="en-US" w:eastAsia="zh-CN"/>
        </w:rPr>
        <w:t>“</w:t>
      </w:r>
      <w:r>
        <w:rPr>
          <w:rFonts w:hint="default" w:ascii="Times New Roman" w:hAnsi="Times New Roman" w:eastAsiaTheme="minorEastAsia"/>
          <w:sz w:val="21"/>
          <w:szCs w:val="21"/>
          <w:lang w:val="en-US" w:eastAsia="zh-CN"/>
        </w:rPr>
        <w:t>信息传导机制生效→企业主动整改→监管发现问题减少</w:t>
      </w:r>
      <w:r>
        <w:rPr>
          <w:rFonts w:hint="eastAsia" w:ascii="Times New Roman" w:hAnsi="Times New Roman"/>
          <w:sz w:val="21"/>
          <w:szCs w:val="21"/>
          <w:lang w:val="en-US" w:eastAsia="zh-CN"/>
        </w:rPr>
        <w:t>”</w:t>
      </w:r>
      <w:r>
        <w:rPr>
          <w:rFonts w:hint="default" w:ascii="Times New Roman" w:hAnsi="Times New Roman" w:eastAsiaTheme="minorEastAsia"/>
          <w:sz w:val="21"/>
          <w:szCs w:val="21"/>
          <w:lang w:val="en-US" w:eastAsia="zh-CN"/>
        </w:rPr>
        <w:t>。用结果变量（处罚情况）去否定机制存在性，在因果推断上是站不住脚的。</w:t>
      </w:r>
    </w:p>
    <w:p w14:paraId="18337990">
      <w:pPr>
        <w:spacing w:line="360" w:lineRule="auto"/>
        <w:ind w:firstLine="482" w:firstLineChars="200"/>
        <w:jc w:val="left"/>
        <w:rPr>
          <w:rFonts w:hint="default" w:ascii="Times New Roman" w:hAnsi="Times New Roman" w:eastAsiaTheme="minorEastAsia"/>
          <w:b/>
          <w:bCs/>
          <w:sz w:val="24"/>
          <w:szCs w:val="24"/>
          <w:lang w:val="en-US" w:eastAsia="zh-CN"/>
        </w:rPr>
      </w:pPr>
      <w:r>
        <w:rPr>
          <w:rFonts w:hint="eastAsia" w:ascii="Times New Roman" w:hAnsi="Times New Roman" w:eastAsiaTheme="minorEastAsia"/>
          <w:b/>
          <w:bCs/>
          <w:sz w:val="24"/>
          <w:szCs w:val="24"/>
          <w:lang w:val="en-US" w:eastAsia="zh-CN"/>
        </w:rPr>
        <w:t>五、其他问题</w:t>
      </w:r>
    </w:p>
    <w:p w14:paraId="262B5523">
      <w:pPr>
        <w:ind w:firstLine="422" w:firstLineChars="200"/>
        <w:rPr>
          <w:rFonts w:hint="default" w:ascii="Times New Roman" w:hAnsi="Times New Roman" w:eastAsiaTheme="minorEastAsia"/>
          <w:b/>
          <w:bCs/>
          <w:sz w:val="21"/>
          <w:szCs w:val="21"/>
          <w:lang w:val="en-US" w:eastAsia="zh-CN"/>
        </w:rPr>
      </w:pPr>
      <w:r>
        <w:rPr>
          <w:rFonts w:hint="eastAsia" w:ascii="Times New Roman" w:hAnsi="Times New Roman"/>
          <w:b/>
          <w:bCs/>
          <w:sz w:val="21"/>
          <w:szCs w:val="21"/>
          <w:lang w:val="en-US" w:eastAsia="zh-CN"/>
        </w:rPr>
        <w:t>1</w:t>
      </w:r>
      <w:r>
        <w:rPr>
          <w:rFonts w:hint="default" w:ascii="Times New Roman" w:hAnsi="Times New Roman" w:eastAsiaTheme="minorEastAsia"/>
          <w:b/>
          <w:bCs/>
          <w:sz w:val="21"/>
          <w:szCs w:val="21"/>
          <w:lang w:val="en-US" w:eastAsia="zh-CN"/>
        </w:rPr>
        <w:t>.现有稳健性检验避重就轻</w:t>
      </w:r>
    </w:p>
    <w:p w14:paraId="159DF2D3">
      <w:pPr>
        <w:ind w:firstLine="420" w:firstLineChars="200"/>
        <w:rPr>
          <w:rFonts w:hint="default" w:ascii="Times New Roman" w:hAnsi="Times New Roman" w:eastAsiaTheme="minorEastAsia"/>
          <w:sz w:val="21"/>
          <w:szCs w:val="21"/>
          <w:lang w:val="en-US" w:eastAsia="zh-CN"/>
        </w:rPr>
      </w:pPr>
      <w:r>
        <w:rPr>
          <w:rFonts w:hint="default" w:ascii="Times New Roman" w:hAnsi="Times New Roman" w:eastAsiaTheme="minorEastAsia"/>
          <w:sz w:val="21"/>
          <w:szCs w:val="21"/>
          <w:lang w:val="en-US" w:eastAsia="zh-CN"/>
        </w:rPr>
        <w:t>当前的安慰剂检验、PSM匹配、Oster检验以及变量替换（如DA），本质上都是在同一个有偏样本上的重复验证，无法解决样本筛选和变量构造带来的结构性问题。真正有说服力的稳健性检验应该针对上述核心质疑展开。</w:t>
      </w:r>
      <w:r>
        <w:rPr>
          <w:rFonts w:hint="eastAsia" w:ascii="Times New Roman" w:hAnsi="Times New Roman"/>
          <w:sz w:val="21"/>
          <w:szCs w:val="21"/>
          <w:lang w:val="en-US" w:eastAsia="zh-CN"/>
        </w:rPr>
        <w:t>此外，</w:t>
      </w:r>
      <w:r>
        <w:rPr>
          <w:rFonts w:hint="default" w:ascii="Times New Roman" w:hAnsi="Times New Roman" w:eastAsiaTheme="minorEastAsia"/>
          <w:sz w:val="21"/>
          <w:szCs w:val="21"/>
          <w:lang w:val="en-US" w:eastAsia="zh-CN"/>
        </w:rPr>
        <w:t>原文使用Wind行业分类第四级界定同行业，但不同行业分类标准（证监会、申万、中信等）可能导致截然不同的处理组划分。由于核心识别完全依赖于</w:t>
      </w:r>
      <w:r>
        <w:rPr>
          <w:rFonts w:hint="eastAsia" w:ascii="Times New Roman" w:hAnsi="Times New Roman"/>
          <w:sz w:val="21"/>
          <w:szCs w:val="21"/>
          <w:lang w:val="en-US" w:eastAsia="zh-CN"/>
        </w:rPr>
        <w:t>“</w:t>
      </w:r>
      <w:r>
        <w:rPr>
          <w:rFonts w:hint="default" w:ascii="Times New Roman" w:hAnsi="Times New Roman" w:eastAsiaTheme="minorEastAsia"/>
          <w:sz w:val="21"/>
          <w:szCs w:val="21"/>
          <w:lang w:val="en-US" w:eastAsia="zh-CN"/>
        </w:rPr>
        <w:t>同行业</w:t>
      </w:r>
      <w:r>
        <w:rPr>
          <w:rFonts w:hint="eastAsia" w:ascii="Times New Roman" w:hAnsi="Times New Roman"/>
          <w:sz w:val="21"/>
          <w:szCs w:val="21"/>
          <w:lang w:val="en-US" w:eastAsia="zh-CN"/>
        </w:rPr>
        <w:t>”</w:t>
      </w:r>
      <w:r>
        <w:rPr>
          <w:rFonts w:hint="default" w:ascii="Times New Roman" w:hAnsi="Times New Roman" w:eastAsiaTheme="minorEastAsia"/>
          <w:sz w:val="21"/>
          <w:szCs w:val="21"/>
          <w:lang w:val="en-US" w:eastAsia="zh-CN"/>
        </w:rPr>
        <w:t>这一边界的界定，使用替代行业分类标准进行稳健性检验是必要的。</w:t>
      </w:r>
    </w:p>
    <w:p w14:paraId="3580E00D">
      <w:pPr>
        <w:ind w:firstLine="422" w:firstLineChars="200"/>
        <w:rPr>
          <w:rFonts w:hint="default" w:ascii="Times New Roman" w:hAnsi="Times New Roman" w:eastAsiaTheme="minorEastAsia"/>
          <w:b/>
          <w:bCs/>
          <w:sz w:val="21"/>
          <w:szCs w:val="21"/>
          <w:lang w:val="en-US" w:eastAsia="zh-CN"/>
        </w:rPr>
      </w:pPr>
      <w:r>
        <w:rPr>
          <w:rFonts w:hint="eastAsia" w:ascii="Times New Roman" w:hAnsi="Times New Roman"/>
          <w:b/>
          <w:bCs/>
          <w:sz w:val="21"/>
          <w:szCs w:val="21"/>
          <w:lang w:val="en-US" w:eastAsia="zh-CN"/>
        </w:rPr>
        <w:t>2</w:t>
      </w:r>
      <w:r>
        <w:rPr>
          <w:rFonts w:hint="default" w:ascii="Times New Roman" w:hAnsi="Times New Roman" w:eastAsiaTheme="minorEastAsia"/>
          <w:b/>
          <w:bCs/>
          <w:sz w:val="21"/>
          <w:szCs w:val="21"/>
          <w:lang w:val="en-US" w:eastAsia="zh-CN"/>
        </w:rPr>
        <w:t>.表格规范性问题</w:t>
      </w:r>
    </w:p>
    <w:p w14:paraId="0353CCF0">
      <w:pPr>
        <w:ind w:firstLine="420" w:firstLineChars="200"/>
        <w:rPr>
          <w:rFonts w:hint="default" w:ascii="Times New Roman" w:hAnsi="Times New Roman" w:eastAsiaTheme="minorEastAsia"/>
          <w:sz w:val="21"/>
          <w:szCs w:val="21"/>
          <w:lang w:val="en-US" w:eastAsia="zh-CN"/>
        </w:rPr>
      </w:pPr>
      <w:r>
        <w:rPr>
          <w:rFonts w:hint="default" w:ascii="Times New Roman" w:hAnsi="Times New Roman" w:eastAsiaTheme="minorEastAsia"/>
          <w:sz w:val="21"/>
          <w:szCs w:val="21"/>
          <w:lang w:val="en-US" w:eastAsia="zh-CN"/>
        </w:rPr>
        <w:t>全文所有回归表格（如表3、表4等）中，括号内的数值从量级看明显为t值，但第10页表注却统一标注为</w:t>
      </w:r>
      <w:r>
        <w:rPr>
          <w:rFonts w:hint="eastAsia" w:ascii="Times New Roman" w:hAnsi="Times New Roman"/>
          <w:sz w:val="21"/>
          <w:szCs w:val="21"/>
          <w:lang w:val="en-US" w:eastAsia="zh-CN"/>
        </w:rPr>
        <w:t>“</w:t>
      </w:r>
      <w:r>
        <w:rPr>
          <w:rFonts w:hint="default" w:ascii="Times New Roman" w:hAnsi="Times New Roman" w:eastAsiaTheme="minorEastAsia"/>
          <w:sz w:val="21"/>
          <w:szCs w:val="21"/>
          <w:lang w:val="en-US" w:eastAsia="zh-CN"/>
        </w:rPr>
        <w:t>标准误</w:t>
      </w:r>
      <w:r>
        <w:rPr>
          <w:rFonts w:hint="eastAsia" w:ascii="Times New Roman" w:hAnsi="Times New Roman"/>
          <w:sz w:val="21"/>
          <w:szCs w:val="21"/>
          <w:lang w:val="en-US" w:eastAsia="zh-CN"/>
        </w:rPr>
        <w:t>”</w:t>
      </w:r>
      <w:r>
        <w:rPr>
          <w:rFonts w:hint="default" w:ascii="Times New Roman" w:hAnsi="Times New Roman" w:eastAsiaTheme="minorEastAsia"/>
          <w:sz w:val="21"/>
          <w:szCs w:val="21"/>
          <w:lang w:val="en-US" w:eastAsia="zh-CN"/>
        </w:rPr>
        <w:t>。这一低级错误不应出现在规范的学术论文中，请作者仔细核实并更正。</w:t>
      </w:r>
    </w:p>
    <w:p w14:paraId="05B977AC">
      <w:pPr>
        <w:rPr>
          <w:rFonts w:hint="default" w:ascii="Times New Roman" w:hAnsi="Times New Roman" w:eastAsiaTheme="minorEastAsia"/>
          <w:sz w:val="21"/>
          <w:szCs w:val="21"/>
          <w:lang w:val="en-US" w:eastAsia="zh-CN"/>
        </w:rPr>
      </w:pPr>
    </w:p>
    <w:p w14:paraId="5AE72A17">
      <w:pPr>
        <w:rPr>
          <w:rFonts w:hint="default" w:ascii="Times New Roman" w:hAnsi="Times New Roman" w:eastAsiaTheme="minorEastAsia"/>
          <w:b/>
          <w:bCs/>
          <w:sz w:val="21"/>
          <w:szCs w:val="21"/>
          <w:lang w:val="en-US" w:eastAsia="zh-CN"/>
        </w:rPr>
      </w:pPr>
      <w:r>
        <w:rPr>
          <w:rFonts w:hint="eastAsia" w:ascii="Times New Roman" w:hAnsi="Times New Roman"/>
          <w:b/>
          <w:bCs/>
          <w:sz w:val="21"/>
          <w:szCs w:val="21"/>
          <w:lang w:val="en-US" w:eastAsia="zh-CN"/>
        </w:rPr>
        <w:t>参考文献</w:t>
      </w:r>
    </w:p>
    <w:p w14:paraId="3589C3B8">
      <w:pPr>
        <w:numPr>
          <w:ilvl w:val="0"/>
          <w:numId w:val="1"/>
        </w:numPr>
        <w:ind w:left="420" w:leftChars="0" w:firstLine="0" w:firstLineChars="0"/>
        <w:rPr>
          <w:rFonts w:hint="default" w:ascii="Times New Roman" w:hAnsi="Times New Roman" w:eastAsiaTheme="minorEastAsia"/>
          <w:sz w:val="21"/>
          <w:szCs w:val="21"/>
          <w:lang w:val="en-US" w:eastAsia="zh-CN"/>
        </w:rPr>
      </w:pPr>
      <w:r>
        <w:rPr>
          <w:rFonts w:hint="default" w:ascii="Times New Roman" w:hAnsi="Times New Roman" w:eastAsiaTheme="minorEastAsia"/>
          <w:sz w:val="21"/>
          <w:szCs w:val="21"/>
          <w:lang w:val="en-US" w:eastAsia="zh-CN"/>
        </w:rPr>
        <w:t>边江泽,余湄,秦淇林.注册制改革、信息披露与投资者行为——基于创业板定向增发的证据[J].管理世界,2025,41(11):81-114.</w:t>
      </w:r>
    </w:p>
    <w:p w14:paraId="073D67D9">
      <w:pPr>
        <w:numPr>
          <w:ilvl w:val="0"/>
          <w:numId w:val="1"/>
        </w:numPr>
        <w:ind w:left="420" w:leftChars="0" w:firstLine="0" w:firstLineChars="0"/>
        <w:rPr>
          <w:rFonts w:hint="default" w:ascii="Times New Roman" w:hAnsi="Times New Roman" w:eastAsiaTheme="minorEastAsia"/>
          <w:sz w:val="21"/>
          <w:szCs w:val="21"/>
          <w:lang w:val="en-US" w:eastAsia="zh-CN"/>
        </w:rPr>
      </w:pPr>
      <w:r>
        <w:rPr>
          <w:rFonts w:hint="default" w:ascii="Times New Roman" w:hAnsi="Times New Roman" w:eastAsiaTheme="minorEastAsia"/>
          <w:sz w:val="21"/>
          <w:szCs w:val="21"/>
          <w:lang w:val="en-US" w:eastAsia="zh-CN"/>
        </w:rPr>
        <w:t xml:space="preserve"> Abadie, A., Athey, S., Imbens, G. W., &amp; Wooldridge, J. M. (2023). When should you adjust standard errors for clustering? The </w:t>
      </w:r>
      <w:bookmarkStart w:id="0" w:name="_GoBack"/>
      <w:bookmarkEnd w:id="0"/>
      <w:r>
        <w:rPr>
          <w:rFonts w:hint="default" w:ascii="Times New Roman" w:hAnsi="Times New Roman" w:eastAsiaTheme="minorEastAsia"/>
          <w:sz w:val="21"/>
          <w:szCs w:val="21"/>
          <w:lang w:val="en-US" w:eastAsia="zh-CN"/>
        </w:rPr>
        <w:t>Quarterly Journal of Economics, 138(1), 1-35.</w:t>
      </w:r>
    </w:p>
    <w:sectPr>
      <w:pgSz w:w="11906" w:h="16838"/>
      <w:pgMar w:top="1440" w:right="1080" w:bottom="1440" w:left="108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F7E272E"/>
    <w:multiLevelType w:val="singleLevel"/>
    <w:tmpl w:val="8F7E272E"/>
    <w:lvl w:ilvl="0" w:tentative="0">
      <w:start w:val="1"/>
      <w:numFmt w:val="decimal"/>
      <w:lvlText w:val="[%1]"/>
      <w:lvlJc w:val="left"/>
      <w:pPr>
        <w:tabs>
          <w:tab w:val="left" w:pos="312"/>
        </w:tabs>
        <w:ind w:left="420" w:leftChars="0" w:firstLine="0" w:firstLineChars="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7"/>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A073E62"/>
    <w:rsid w:val="004E7128"/>
    <w:rsid w:val="027225E3"/>
    <w:rsid w:val="05DD246D"/>
    <w:rsid w:val="06500E91"/>
    <w:rsid w:val="0A073E62"/>
    <w:rsid w:val="119F2AEF"/>
    <w:rsid w:val="13F13588"/>
    <w:rsid w:val="144E0228"/>
    <w:rsid w:val="14DC77B4"/>
    <w:rsid w:val="19BC01A3"/>
    <w:rsid w:val="1BA159F6"/>
    <w:rsid w:val="1E8E0351"/>
    <w:rsid w:val="21525220"/>
    <w:rsid w:val="23EE54AF"/>
    <w:rsid w:val="249D01EF"/>
    <w:rsid w:val="2C106849"/>
    <w:rsid w:val="2CE6483A"/>
    <w:rsid w:val="314825E1"/>
    <w:rsid w:val="317F4AF0"/>
    <w:rsid w:val="36BB6700"/>
    <w:rsid w:val="3710594F"/>
    <w:rsid w:val="39886C4F"/>
    <w:rsid w:val="3BD553B9"/>
    <w:rsid w:val="3E987A56"/>
    <w:rsid w:val="3F010FFE"/>
    <w:rsid w:val="3FF859BA"/>
    <w:rsid w:val="433504EC"/>
    <w:rsid w:val="485E2423"/>
    <w:rsid w:val="4DAD6EF7"/>
    <w:rsid w:val="4E3022DE"/>
    <w:rsid w:val="4EF84C95"/>
    <w:rsid w:val="51225039"/>
    <w:rsid w:val="5569376F"/>
    <w:rsid w:val="55BB2B19"/>
    <w:rsid w:val="563A3D2B"/>
    <w:rsid w:val="564D3CBE"/>
    <w:rsid w:val="58FA1B08"/>
    <w:rsid w:val="5ABF6998"/>
    <w:rsid w:val="5D8660BC"/>
    <w:rsid w:val="62944DD7"/>
    <w:rsid w:val="637D586B"/>
    <w:rsid w:val="6C1E5314"/>
    <w:rsid w:val="6D2D20B0"/>
    <w:rsid w:val="6E8201DA"/>
    <w:rsid w:val="718B55F7"/>
    <w:rsid w:val="71902C0D"/>
    <w:rsid w:val="71B92164"/>
    <w:rsid w:val="72B868C0"/>
    <w:rsid w:val="73C30A43"/>
    <w:rsid w:val="73E007D8"/>
    <w:rsid w:val="75F073DC"/>
    <w:rsid w:val="769D02A6"/>
    <w:rsid w:val="78F87A16"/>
    <w:rsid w:val="7AD34A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2845</Words>
  <Characters>2952</Characters>
  <Lines>0</Lines>
  <Paragraphs>0</Paragraphs>
  <TotalTime>175</TotalTime>
  <ScaleCrop>false</ScaleCrop>
  <LinksUpToDate>false</LinksUpToDate>
  <CharactersWithSpaces>2961</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2026-01-05T03:14:00Z</dcterms:created>
  <dc:creator>李欣媛</dc:creator>
  <cp:lastModifiedBy>李欣媛</cp:lastModifiedBy>
  <dcterms:modified xsi:type="dcterms:W3CDTF">2026-01-11T07:51:34Z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2B1E1552FF6841629FFD9A4595D338C5_11</vt:lpwstr>
  </property>
  <property fmtid="{D5CDD505-2E9C-101B-9397-08002B2CF9AE}" pid="4" name="KSOTemplateDocerSaveRecord">
    <vt:lpwstr>eyJoZGlkIjoiY2JhYjFkNDAwZjVhYzZkZWQxMzUxNTdhYzU4NTlmNDEiLCJ1c2VySWQiOiIxNzUzMzc0NjEyIn0=</vt:lpwstr>
  </property>
</Properties>
</file>