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Spécification technique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intégration Dataverse, moteur de chargement, sécurité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v1.10.26  ·  Juin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Vue d'ensemble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Manifest V3</w:t>
      </w:r>
      <w:r>
        <w:t xml:space="preserve"> (React 18 + Vite) pour Microsoft Dynamics 365 / Dataverse. Elle fournit 12 modules d'exploration, de chargement et d'audit, sans aucun backend : toutes les requêtes partent du navigateur de l'utilisateur vers sa propre org, authentifiées par la session existante.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Métrique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de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~9 900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React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Actions API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42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 unitaires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207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Bundle panel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~490 KB (+ ~430 KB xlsx à la demande)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Dépendances runtime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Permissions Chrome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activeTab · 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Trois contextes d'exécution isolés communiquent par messages Chrome. Le </w:t>
      </w:r>
      <w:r>
        <w:rPr>
          <w:b/>
          <w:bCs/>
        </w:rPr>
        <w:t xml:space="preserve">panel</w:t>
      </w:r>
      <w:r>
        <w:t xml:space="preserve"> (React) ne touche jamais Dataverse directement : chaque appel transite par le </w:t>
      </w:r>
      <w:r>
        <w:rPr>
          <w:b/>
          <w:bCs/>
        </w:rPr>
        <w:t xml:space="preserve">service worker</w:t>
      </w:r>
      <w:r>
        <w:t xml:space="preserve"> (relais pur) vers le </w:t>
      </w:r>
      <w:r>
        <w:rPr>
          <w:b/>
          <w:bCs/>
        </w:rPr>
        <w:t xml:space="preserve">content script</w:t>
      </w:r>
      <w:r>
        <w:t xml:space="preserve">, seul contexte privilégié, qui exécute 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same-origin avec les cookies de session.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Composants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l'application React : 24 composants, un module = un onglet. Le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 l'API typée, gère le rate-limit (30 req/s), le cache et les pools de workers des opérations bulk.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 minimal : relais de messages panel ↔ content script, suivi de l'onglet D365 actif. Rejette tout message dont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n'est pas l'extension.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injecté sur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 : extraction du contexte org, </w:t>
      </w:r>
      <w:r>
        <w:rPr>
          <w:b/>
          <w:bCs/>
        </w:rPr>
        <w:t xml:space="preserve">42 actions</w:t>
      </w:r>
      <w:r>
        <w:t xml:space="preserve"> (query, metadata, batch…), validation des entrées (regex noms d'entités/champs, GUIDs, strip des caractères de contrôle), construction des $batch, back-off 429.</w:t>
      </w:r>
    </w:p>
    <w:p>
      <w:pPr>
        <w:pStyle w:val="Heading2"/>
      </w:pPr>
      <w:r>
        <w:t xml:space="preserve">Protocole de messages</w:t>
      </w:r>
    </w:p>
    <w:p>
      <w:pPr>
        <w:spacing w:after="120"/>
      </w:pPr>
      <w:r>
        <w:t xml:space="preserve">Requête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d365TabId}</w:t>
      </w:r>
      <w:r>
        <w:t xml:space="preserve"> ; réponse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Timeouts côté bridge : 30 s standard, 5 min pour les opérations bulk. Les chunks bulk sont plafonnés à 500 enregistrements par message pour rester sous la limite IPC de 64 Mo de Chrome.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Erreurs 401/403 → signal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propagé à l'UI (bouton Reconnect).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Annulation bulk : le bridge envoie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; le content script arrête retries 429 et chunks restants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au début de chaque run).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Un module = un composant React monté dans son ErrorBoundary (un crash n'affecte pas les autres onglets).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Rôle technique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modes de requête (Builder/OData/FetchXML/SQL), pagination auto (nextLink + paging cookies), virtual scrolling, édition inline (PATCH), bulk update/delete.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→ FetchXML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Parseur dédié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 : SELECT/JOIN/WHERE/GROUP BY/agrégats → link-entity, attributs, filtres.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: méthode whitelistée, hôte re-validé deux fois, timeout 60 s, réponse brute (statut/headers/body) non interprétée.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Voir section 5 — parsing, transforms, 4 modes, moteur $batch.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attributs ; exports CSV dictionnaire de données et OptionSets.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Rendu SVG custom (drag/zoom/pan), exports PNG 2x / SVG / Mermaid.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de solution résolus (13 types) ; labels multilingues via LocLabels, publication auto.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Pagination complète systemusers, privilèges par rôle (FetchXML), audit logs (logins). Onglets masqués sans droits.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Intégration Dataverse</w:t>
      </w:r>
    </w:p>
    <w:p>
      <w:pPr>
        <w:pStyle w:val="Heading2"/>
      </w:pPr>
      <w:r>
        <w:t xml:space="preserve">Contexte &amp; authentification</w:t>
      </w:r>
    </w:p>
    <w:p>
      <w:pPr>
        <w:spacing w:after="120"/>
      </w:pPr>
      <w:r>
        <w:t xml:space="preserve">Le content script extrait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et la version d'API du contexte de la page D365. Tous les appels sont 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</w:t>
      </w:r>
      <w:r>
        <w:rPr>
          <w:b/>
          <w:bCs/>
        </w:rPr>
        <w:t xml:space="preserve">same-origin</w:t>
      </w:r>
      <w:r>
        <w:t xml:space="preserve">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les cookies de session Azure AD/Entra portent l'authentification. Aucun token n'est extrait, stocké ni manipulé.</w:t>
      </w:r>
    </w:p>
    <w:p>
      <w:pPr>
        <w:pStyle w:val="Heading2"/>
      </w:pPr>
      <w:r>
        <w:t xml:space="preserve">Détection d'environnement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fournit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(Production, Sandbox, CustomerTest→UAT, Trial…) — source de vérité du badge d'environnement. Une heuristique sur le hostname (sandbox, uat, dev, recette…) sert uniquement de secours pour les orgs qui n'exposent pas l'API.</w:t>
      </w:r>
    </w:p>
    <w:p>
      <w:pPr>
        <w:pStyle w:val="Heading2"/>
      </w:pPr>
      <w:r>
        <w:t xml:space="preserve">Cache de métadonnées</w:t>
      </w:r>
    </w:p>
    <w:p>
      <w:pPr>
        <w:spacing w:after="120"/>
      </w:pPr>
      <w:r>
        <w:t xml:space="preserve">Double niveau : mémoire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(persistant). Les clés sont </w:t>
      </w:r>
      <w:r>
        <w:rPr>
          <w:b/>
          <w:bCs/>
        </w:rPr>
        <w:t xml:space="preserve">préfixées par l'org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aucun mélange entre environnements.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Donnée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Entités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Champs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requis,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relations N:1, valeurs d'option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(résolution unitaire)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nom de collection exact (pluriels irréguliers)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Moteur du Data Loader</w:t>
      </w:r>
    </w:p>
    <w:p>
      <w:pPr>
        <w:pStyle w:val="Heading2"/>
      </w:pPr>
      <w:r>
        <w:t xml:space="preserve">Parsing (loaderUtils.js — testé unitairement)</w:t>
      </w:r>
    </w:p>
    <w:p>
      <w:pPr>
        <w:spacing w:after="120"/>
      </w:pPr>
      <w:r>
        <w:t xml:space="preserve">Parseur </w:t>
      </w:r>
      <w:r>
        <w:rPr>
          <w:b/>
          <w:bCs/>
        </w:rPr>
        <w:t xml:space="preserve">RFC-4180</w:t>
      </w:r>
      <w:r>
        <w:t xml:space="preserve"> caractère par caractère : guillemets, délimiteurs et sauts de ligne imbriqués,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 échappés. Détection du délimiteur : tabulation prioritaire (collage Excel), sinon comptage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hors guillemets. Les fichiers Excel sont lus </w:t>
      </w:r>
      <w:r>
        <w:rPr>
          <w:b/>
          <w:bCs/>
        </w:rPr>
        <w:t xml:space="preserve">directement en lignes</w:t>
      </w:r>
      <w:r>
        <w:t xml:space="preserve"> (sheet_to_json, pas d'aller-retour CSV). Valeurs trimées, zéros en tête préservés (pas de coercition numérique).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applyTransform(valeur, transform, optionMap)</w:t>
      </w:r>
      <w:r>
        <w:t xml:space="preserve"> — fonctions pures testées : picklist/statecode (label→valeur via OptionSet préchargé, </w:t>
      </w:r>
      <w:r>
        <w:rPr>
          <w:b/>
          <w:bCs/>
        </w:rPr>
        <w:t xml:space="preserve">lookup du label avant</w:t>
      </w:r>
      <w:r>
        <w:t xml:space="preserve"> le passthrough numérique strict), date_iso (DateOnly verbatim, dd/mm/yyyy, bascule US si mois &gt; 12, heure 24h/AM-PM → ISO local→UTC), int/float conscients de la locale (espaces/NBSP, virgule décimale, milliers), booléens EN/FR. Les labels non convertis sont collectés et affichés en fin de run.</w:t>
      </w:r>
    </w:p>
    <w:p>
      <w:pPr>
        <w:pStyle w:val="Heading2"/>
      </w:pPr>
      <w:r>
        <w:t xml:space="preserve">Les 4 modes</w:t>
      </w:r>
    </w:p>
    <w:p>
      <w:pPr>
        <w:spacing w:after="120"/>
      </w:pPr>
      <w:r>
        <w:t xml:space="preserve">La clé (PK ou alternate key mono-attribut) adresse l'enregistrement dans l'URL — jamais dupliquée dans le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la retire en défense). </w:t>
      </w:r>
      <w:r>
        <w:rPr>
          <w:b/>
          <w:bCs/>
        </w:rPr>
        <w:t xml:space="preserve">UPDATE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sur chaque PATCH du $batch </w:t>
      </w:r>
      <w:r>
        <w:rPr>
          <w:b/>
          <w:bCs/>
        </w:rPr>
        <w:t xml:space="preserve">et</w:t>
      </w:r>
      <w:r>
        <w:t xml:space="preserve"> du fallback série ; lignes à clé vide rejetées côté client ; pré-check d'existence optionnel (requêtes OR par 80, normalisation des GUIDs des deux côtés, fallback par valeur en cas de 400, jamais d'abort global). </w:t>
      </w:r>
      <w:r>
        <w:rPr>
          <w:b/>
          <w:bCs/>
        </w:rPr>
        <w:t xml:space="preserve">UPSERT</w:t>
      </w:r>
      <w:r>
        <w:t xml:space="preserve"> par alt-key : binding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. </w:t>
      </w:r>
      <w:r>
        <w:rPr>
          <w:b/>
          <w:bCs/>
        </w:rPr>
        <w:t xml:space="preserve">DELETE</w:t>
      </w:r>
      <w:r>
        <w:t xml:space="preserve"> : DELETE par clé, mêmes garanties de log.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Moteur $batch</w:t>
      </w:r>
    </w:p>
    <w:p>
      <w:pPr>
        <w:spacing w:after="120"/>
      </w:pPr>
      <w:r>
        <w:t xml:space="preserve">Le bridge découpe en chunks (≤500) distribués sur un pool de workers (1-10, défaut 6). Le content script construit le multipart : </w:t>
      </w:r>
      <w:r>
        <w:rPr>
          <w:b/>
          <w:bCs/>
        </w:rPr>
        <w:t xml:space="preserve">un changeset par enregistrement</w:t>
      </w:r>
      <w:r>
        <w:t xml:space="preserve"> (atomicité par ligne, pas de rollback de lot), headers If-Match/MSCRM injectés par opération. Réponses parsées par Content-ID positionnel → log par ligne. 429 : retry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(cap 30 s, 4 tentatives) au niveau $batch </w:t>
      </w:r>
      <w:r>
        <w:rPr>
          <w:b/>
          <w:bCs/>
        </w:rPr>
        <w:t xml:space="preserve">et</w:t>
      </w:r>
      <w:r>
        <w:t xml:space="preserve"> dans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(résolutions, pré-checks).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Annulation</w:t>
      </w:r>
    </w:p>
    <w:p>
      <w:pPr>
        <w:spacing w:after="120"/>
      </w:pPr>
      <w:r>
        <w:t xml:space="preserve">Trois niveaux : le pool du bridge cesse de distribuer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le content script reçoit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(flag de run) qui interrompt les retries 429 en attente et les chunks restants, et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réarme au run suivant. Garantie : </w:t>
      </w:r>
      <w:r>
        <w:rPr>
          <w:b/>
          <w:bCs/>
        </w:rPr>
        <w:t xml:space="preserve">aucune écriture après l'annulation</w:t>
      </w:r>
      <w:r>
        <w:t xml:space="preserve">.</w:t>
      </w:r>
    </w:p>
    <w:p>
      <w:pPr>
        <w:pStyle w:val="Heading2"/>
      </w:pPr>
      <w:r>
        <w:t xml:space="preserve">Journalisation</w:t>
      </w:r>
    </w:p>
    <w:p>
      <w:pPr>
        <w:spacing w:after="120"/>
      </w:pPr>
      <w:r>
        <w:t xml:space="preserve">Deux structures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hors React — toutes les lignes, O(1) mémoire par ligne) et un buffer d'affichage borné à 2 000 entrées (ring buffer, compteurs agrégés). Le détail par ligne reconstruit la requête exacte (mêmes transforms + optionMaps que l'envoi). Exports : log complet, erreurs seules, en CSV protégé.</w:t>
      </w:r>
    </w:p>
    <w:p>
      <w:r>
        <w:br w:type="page"/>
      </w:r>
    </w:p>
    <w:p>
      <w:pPr>
        <w:pStyle w:val="Heading1"/>
      </w:pPr>
      <w:r>
        <w:t xml:space="preserve">6. Sécurité</w:t>
      </w:r>
    </w:p>
    <w:p>
      <w:pPr>
        <w:spacing w:after="120"/>
      </w:pPr>
      <w:r>
        <w:t xml:space="preserve">Audit complet (4 dimensions) + revue de code à 7 angles en juin 2026 : </w:t>
      </w:r>
      <w:r>
        <w:rPr>
          <w:b/>
          <w:bCs/>
        </w:rPr>
        <w:t xml:space="preserve">0 finding critique ou élevé ouvert</w:t>
      </w:r>
      <w:r>
        <w:t xml:space="preserve">. Toutes les écritures restent soumises aux rôles Dataverse côté serveur.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egress</w:t>
      </w:r>
      <w:r>
        <w:t xml:space="preserve"> : tous les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ciblent l'org de l'utilisateur ; pas d'analytics, télémétrie, CDN ou fonts externes.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 systématique côté content script : regex noms entités/champs, GUIDs, strip des caractères de contrôle dans les clés (anti-CRLF dans les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 : hôte re-validé après assemblage de l'URL finale ; historique avec </w:t>
      </w:r>
      <w:r>
        <w:rPr>
          <w:b/>
          <w:bCs/>
        </w:rPr>
        <w:t xml:space="preserve">headers secrets masqués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Exports CSV : préfixe anti-injection de formules ; XLSX : cellules typées (les chaînes y sont inertes).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Boosters MSCRM conditionnés au privilège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CSP explicite sur panel.html ; marqueur du content script non-énumérable 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vérifié dans le service worker.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Rate-limit client 30 req/s + back-off 429 ; pools de workers bulk (6 par défaut, 52 connexions max Dataverse).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lignes rendues quel que soit le volume) ; live log borné (2 000) + ref complète hors re-render.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xlsx </w:t>
      </w:r>
      <w:r>
        <w:rPr>
          <w:b/>
          <w:bCs/>
        </w:rPr>
        <w:t xml:space="preserve">lazy-loadé</w:t>
      </w:r>
      <w:r>
        <w:t xml:space="preserve"> : panel ~490 KB, le chunk xlsx (~430 KB) ne charge qu'au drop/export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Cache métadonnées 2 niveaux ; debounce des recherches ; préchargement parallèle des OptionSets.</w:t>
      </w:r>
    </w:p>
    <w:p>
      <w:pPr>
        <w:pStyle w:val="Heading1"/>
      </w:pPr>
      <w:r>
        <w:t xml:space="preserve">8. Build, tests et release</w:t>
      </w:r>
    </w:p>
    <w:p>
      <w:pPr>
        <w:spacing w:after="120"/>
      </w:pPr>
      <w:r>
        <w:t xml:space="preserve">Vite (build &lt; 2 s) + script post-build (copie manifest/content/background, icônes). </w:t>
      </w:r>
      <w:r>
        <w:rPr>
          <w:b/>
          <w:bCs/>
        </w:rPr>
        <w:t xml:space="preserve">207 tests Vitest</w:t>
      </w:r>
      <w:r>
        <w:t xml:space="preserve"> : parseur SQL (43), validations (30), loaderUtils (transforms, parser RFC-4180, résolution EntitySet) et utilitaires.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chargeable en mode développeur ; zip de release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Flux : branche → PR → squash-merge → build → zip → upload Chrome Web Store.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Versionnage synchronisé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 ; CHANGELOG.md exhaustif.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Code source : github.com/zmissoum/colvio — licence MIT.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v1.10.26 — Spécification technique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a658c7b0a56634b3ee7d1d150286cb2aaffa8c3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Spécification technique</dc:title>
  <dc:creator>Colvio</dc:creator>
  <cp:lastModifiedBy>Un-named</cp:lastModifiedBy>
  <cp:revision>1</cp:revision>
  <dcterms:created xsi:type="dcterms:W3CDTF">2026-06-11T18:04:10.946Z</dcterms:created>
  <dcterms:modified xsi:type="dcterms:W3CDTF">2026-06-11T18:04:10.947Z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