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Technical Specification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Architecture, Dataverse integration, load engine, security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v1.10.26  ·  June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Overview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Manifest V3</w:t>
      </w:r>
      <w:r>
        <w:t xml:space="preserve"> Chrome extension (React 18 + Vite) for Microsoft Dynamics 365 / Dataverse. It ships 12 exploration, loading and audit modules with no backend at all: every request goes from the user's browser to their own org, authenticated by the existing session.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Lines of code (src)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~9 900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components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actions (content script)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42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Unit tests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207 (Vitest)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Panel bundle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~490 KB (+ ~430 KB xlsx on demand)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Runtime dependencies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React 18, react-dom, xlsx (lazy)</w:t>
            </w:r>
          </w:p>
        </w:tc>
      </w:tr>
      <w:tr>
        <w:tc>
          <w:tcPr>
            <w:tcW w:type="dxa" w:w="361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Chrome permissions</w:t>
            </w:r>
          </w:p>
        </w:tc>
        <w:tc>
          <w:tcPr>
            <w:tcW w:type="dxa" w:w="5416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activeTab · scripting · storage · declarativeContent</w:t>
            </w:r>
          </w:p>
        </w:tc>
      </w:tr>
    </w:tbl>
    <w:p>
      <w:pPr>
        <w:pStyle w:val="Heading1"/>
      </w:pPr>
      <w:r>
        <w:t xml:space="preserve">2. Architecture</w:t>
      </w:r>
    </w:p>
    <w:p>
      <w:pPr>
        <w:spacing w:after="120"/>
      </w:pPr>
      <w:r>
        <w:t xml:space="preserve">Three isolated execution contexts communicate over Chrome messaging. The </w:t>
      </w:r>
      <w:r>
        <w:rPr>
          <w:b/>
          <w:bCs/>
        </w:rPr>
        <w:t xml:space="preserve">panel</w:t>
      </w:r>
      <w:r>
        <w:t xml:space="preserve"> (React) never touches Dataverse directly: every call relays through the </w:t>
      </w:r>
      <w:r>
        <w:rPr>
          <w:b/>
          <w:bCs/>
        </w:rPr>
        <w:t xml:space="preserve">service worker</w:t>
      </w:r>
      <w:r>
        <w:t xml:space="preserve"> (pure relay) to the </w:t>
      </w:r>
      <w:r>
        <w:rPr>
          <w:b/>
          <w:bCs/>
        </w:rPr>
        <w:t xml:space="preserve">content script</w:t>
      </w:r>
      <w:r>
        <w:t xml:space="preserve"> — the only privileged context — which performs the same-origin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session cookies.</w:t>
      </w:r>
    </w:p>
    <w:p>
      <w:pPr>
        <w:spacing w:after="160" w:before="120"/>
        <w:jc w:val="center"/>
      </w:pPr>
      <w:r>
        <w:drawing>
          <wp:inline distT="0" distB="0" distL="0" distR="0">
            <wp:extent cx="6096000" cy="2771775"/>
            <wp:effectExtent t="0" r="0" b="0" l="0"/>
            <wp:docPr id="1" name="architecture.png" descr="Architecture" title="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Components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panel</w:t>
      </w:r>
      <w:r>
        <w:t xml:space="preserve"> (src/) — the React app: 24 components, one module = one tab. The bridge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d365-bridge.js</w:t>
      </w:r>
      <w:r>
        <w:t xml:space="preserve">) exposes the typed API and owns rate limiting (30 req/s), caching, and the bulk worker pools.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background.js</w:t>
      </w:r>
      <w:r>
        <w:t xml:space="preserve"> — minimal service worker: panel ↔ content-script relay, active D365 tab tracking. Rejects any message whose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isn't the extension.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content.js</w:t>
      </w:r>
      <w:r>
        <w:t xml:space="preserve"> — injected on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*.dynamics.com</w:t>
      </w:r>
      <w:r>
        <w:t xml:space="preserve">: org context extraction, </w:t>
      </w:r>
      <w:r>
        <w:rPr>
          <w:b/>
          <w:bCs/>
        </w:rPr>
        <w:t xml:space="preserve">42 actions</w:t>
      </w:r>
      <w:r>
        <w:t xml:space="preserve"> (query, metadata, batch…), input validation (entity/field regexes, GUIDs, control-char stripping), $batch building, 429 back-off.</w:t>
      </w:r>
    </w:p>
    <w:p>
      <w:pPr>
        <w:pStyle w:val="Heading2"/>
      </w:pPr>
      <w:r>
        <w:t xml:space="preserve">Message protocol</w:t>
      </w:r>
    </w:p>
    <w:p>
      <w:pPr>
        <w:spacing w:after="120"/>
      </w:pPr>
      <w:r>
        <w:t xml:space="preserve">Request: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{__d365InspectorRequest, id, action, params, d365TabId}</w:t>
      </w:r>
      <w:r>
        <w:t xml:space="preserve">; response: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{result}</w:t>
      </w:r>
      <w:r>
        <w:t xml:space="preserve"> or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{error}</w:t>
      </w:r>
      <w:r>
        <w:t xml:space="preserve">. Bridge timeouts: 30 s standard, 5 min for bulk operations. Bulk chunks are capped at 500 records per message to stay under Chrome's 64 MB IPC limit.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401/403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SESSION_EXPIRED</w:t>
      </w:r>
      <w:r>
        <w:t xml:space="preserve"> signal surfaced to the UI (Reconnect button).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Bulk cancellation: the bridge sends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; the content script stops pending 429 retries and remaining chunks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at each run start).</w:t>
      </w:r>
    </w:p>
    <w:p>
      <w:r>
        <w:br w:type="page"/>
      </w:r>
    </w:p>
    <w:p>
      <w:pPr>
        <w:pStyle w:val="Heading1"/>
      </w:pPr>
      <w:r>
        <w:t xml:space="preserve">3. Modules</w:t>
      </w:r>
    </w:p>
    <w:p>
      <w:pPr>
        <w:spacing w:after="120"/>
      </w:pPr>
      <w:r>
        <w:t xml:space="preserve">One module = one React component mounted in its own ErrorBoundary (a crash never takes down other tabs).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6448"/>
      </w:tblGrid>
      <w:tr>
        <w:trPr>
          <w:tblHeader/>
        </w:trP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Module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Technical role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Explorer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4 query modes (Builder/OData/FetchXML/SQL), auto-pagination (nextLink + paging cookies), virtual scrolling, inline edit (PATCH), bulk update/delete.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SQL → FetchXML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Dedicated parser (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sqlToFetchXml.js</w:t>
            </w:r>
            <w:r>
              <w:rPr>
                <w:sz w:val="20"/>
                <w:szCs w:val="20"/>
              </w:rPr>
              <w:t xml:space="preserve">, 43 tests): SELECT/JOIN/WHERE/GROUP BY/aggregates → link-entity, attributes, filters.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API Tester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customRequest</w:t>
            </w:r>
            <w:r>
              <w:rPr>
                <w:sz w:val="20"/>
                <w:szCs w:val="20"/>
              </w:rPr>
              <w:t xml:space="preserve"> action: whitelisted methods, host validated twice, 60 s timeout, raw response (status/headers/body) returned unmodified.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 Loader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See section 5 — parsing, transforms, 4 modes, $batch engine.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Show All Data / Metadata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EntityDefinitions + attributes; data-dictionary and OptionSet CSV exports.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Schema (ERD) / Relationships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Custom SVG rendering (drag/zoom/pan), PNG 2x / SVG / Mermaid exports.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Solutions / Translations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Solution components resolved (13 types); multilingual labels via LocLabels, auto-publish.</w:t>
            </w:r>
          </w:p>
        </w:tc>
      </w:tr>
      <w:tr>
        <w:tc>
          <w:tcPr>
            <w:tcW w:type="dxa" w:w="257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Users &amp; Licenses / Security Audit / Login History</w:t>
            </w:r>
          </w:p>
        </w:tc>
        <w:tc>
          <w:tcPr>
            <w:tcW w:type="dxa" w:w="644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Full systemusers pagination, per-role privileges (FetchXML), audit logs (logins). Tabs hidden without rights.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Dataverse integration</w:t>
      </w:r>
    </w:p>
    <w:p>
      <w:pPr>
        <w:pStyle w:val="Heading2"/>
      </w:pPr>
      <w:r>
        <w:t xml:space="preserve">Context &amp; authentication</w:t>
      </w:r>
    </w:p>
    <w:p>
      <w:pPr>
        <w:spacing w:after="120"/>
      </w:pPr>
      <w:r>
        <w:t xml:space="preserve">The content script extracts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clientUrl</w:t>
      </w:r>
      <w:r>
        <w:t xml:space="preserve"> and the API version from the D365 page context. All calls are </w:t>
      </w:r>
      <w:r>
        <w:rPr>
          <w:b/>
          <w:bCs/>
        </w:rPr>
        <w:t xml:space="preserve">same-origin</w:t>
      </w:r>
      <w:r>
        <w:t xml:space="preserve">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with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credentials:"same-origin"</w:t>
      </w:r>
      <w:r>
        <w:t xml:space="preserve"> — Azure AD/Entra session cookies carry authentication. No token is ever extracted, stored or handled.</w:t>
      </w:r>
    </w:p>
    <w:p>
      <w:pPr>
        <w:pStyle w:val="Heading2"/>
      </w:pPr>
      <w:r>
        <w:t xml:space="preserve">Environment detection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provides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OrganizationType</w:t>
      </w:r>
      <w:r>
        <w:t xml:space="preserve"> (Production, Sandbox, CustomerTest→UAT, Trial…) — the authoritative source for the environment badge. A hostname heuristic (sandbox, uat, dev…) is fallback only.</w:t>
      </w:r>
    </w:p>
    <w:p>
      <w:pPr>
        <w:pStyle w:val="Heading2"/>
      </w:pPr>
      <w:r>
        <w:t xml:space="preserve">Metadata cache</w:t>
      </w:r>
    </w:p>
    <w:p>
      <w:pPr>
        <w:spacing w:after="120"/>
      </w:pPr>
      <w:r>
        <w:t xml:space="preserve">Two tiers: in-memory (session)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chrome.storage.local</w:t>
      </w:r>
      <w:r>
        <w:t xml:space="preserve"> (persistent). Keys are </w:t>
      </w:r>
      <w:r>
        <w:rPr>
          <w:b/>
          <w:bCs/>
        </w:rPr>
        <w:t xml:space="preserve">org-prefixed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d365_cache_&lt;org&gt;_…</w:t>
      </w:r>
      <w:r>
        <w:t xml:space="preserve">) — no cross-environment bleed.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1974"/>
        <w:gridCol w:w="4232"/>
      </w:tblGrid>
      <w:tr>
        <w:trPr>
          <w:tblHeader/>
        </w:trP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TTL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Entities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logical name, display name, EntitySetName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Fields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type, required, IsValidForCreate/Update, custom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Lookups / OptionSets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1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N:1 relationships, option values</w:t>
            </w:r>
          </w:p>
        </w:tc>
      </w:tr>
      <w:tr>
        <w:tc>
          <w:tcPr>
            <w:tcW w:type="dxa" w:w="282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EntitySetName (single resolution)</w:t>
            </w:r>
          </w:p>
        </w:tc>
        <w:tc>
          <w:tcPr>
            <w:tcW w:type="dxa" w:w="197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24 h</w:t>
            </w:r>
          </w:p>
        </w:tc>
        <w:tc>
          <w:tcPr>
            <w:tcW w:type="dxa" w:w="423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exact collection name (irregular plurals)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Data Loader engine</w:t>
      </w:r>
    </w:p>
    <w:p>
      <w:pPr>
        <w:pStyle w:val="Heading2"/>
      </w:pPr>
      <w:r>
        <w:t xml:space="preserve">Parsing (loaderUtils.js — unit-tested)</w:t>
      </w:r>
    </w:p>
    <w:p>
      <w:pPr>
        <w:spacing w:after="120"/>
      </w:pPr>
      <w:r>
        <w:t xml:space="preserve">Character-level </w:t>
      </w:r>
      <w:r>
        <w:rPr>
          <w:b/>
          <w:bCs/>
        </w:rPr>
        <w:t xml:space="preserve">RFC-4180</w:t>
      </w:r>
      <w:r>
        <w:t xml:space="preserve"> parser: quoted fields, embedded delimiters and line breaks, escaped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""</w:t>
      </w:r>
      <w:r>
        <w:t xml:space="preserve">. Delimiter detection: an unquoted tab wins (Excel paste), else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;</w:t>
      </w:r>
      <w:r>
        <w:t xml:space="preserve"> vs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,</w:t>
      </w:r>
      <w:r>
        <w:t xml:space="preserve"> count outside quotes. Excel files are read </w:t>
      </w:r>
      <w:r>
        <w:rPr>
          <w:b/>
          <w:bCs/>
        </w:rPr>
        <w:t xml:space="preserve">straight to rows</w:t>
      </w:r>
      <w:r>
        <w:t xml:space="preserve"> (sheet_to_json, no CSV round-trip). Values trimmed, leading zeros preserved (no numeric coercion).</w:t>
      </w:r>
    </w:p>
    <w:p>
      <w:pPr>
        <w:pStyle w:val="Heading2"/>
      </w:pPr>
      <w:r>
        <w:t xml:space="preserve">Transforms</w:t>
      </w:r>
    </w:p>
    <w:p>
      <w:pPr>
        <w:spacing w:after="12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applyTransform(value, transform, optionMap)</w:t>
      </w:r>
      <w:r>
        <w:t xml:space="preserve"> — pure, tested functions: picklist/statecode (label→value via preloaded OptionSet, </w:t>
      </w:r>
      <w:r>
        <w:rPr>
          <w:b/>
          <w:bCs/>
        </w:rPr>
        <w:t xml:space="preserve">label lookup before</w:t>
      </w:r>
      <w:r>
        <w:t xml:space="preserve"> strict numeric passthrough), date_iso (DateOnly verbatim, dd/mm/yyyy, US swap when month &gt; 12, 24h/AM-PM time → local→UTC ISO), locale-aware int/float (spaces/NBSP, decimal comma, thousands), EN/FR booleans. Unconverted labels are collected and surfaced after the run.</w:t>
      </w:r>
    </w:p>
    <w:p>
      <w:pPr>
        <w:pStyle w:val="Heading2"/>
      </w:pPr>
      <w:r>
        <w:t xml:space="preserve">The 4 modes</w:t>
      </w:r>
    </w:p>
    <w:p>
      <w:pPr>
        <w:spacing w:after="120"/>
      </w:pPr>
      <w:r>
        <w:t xml:space="preserve">The key (PK or single-attribute alternate key) addresses the record in the URL — never duplicated in the body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buildClean</w:t>
      </w:r>
      <w:r>
        <w:t xml:space="preserve"> strips it as defense). </w:t>
      </w:r>
      <w:r>
        <w:rPr>
          <w:b/>
          <w:bCs/>
        </w:rPr>
        <w:t xml:space="preserve">UPDATE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If-Match: *</w:t>
      </w:r>
      <w:r>
        <w:t xml:space="preserve"> on every $batch PATCH </w:t>
      </w:r>
      <w:r>
        <w:rPr>
          <w:b/>
          <w:bCs/>
        </w:rPr>
        <w:t xml:space="preserve">and</w:t>
      </w:r>
      <w:r>
        <w:t xml:space="preserve"> on the serial fallback; empty-key rows rejected client-side; optional existence pre-check (OR queries of 80, GUID normalization on both sides, per-value fallback on 400, never a global abort). </w:t>
      </w:r>
      <w:r>
        <w:rPr>
          <w:b/>
          <w:bCs/>
        </w:rPr>
        <w:t xml:space="preserve">UPSERT</w:t>
      </w:r>
      <w:r>
        <w:t xml:space="preserve"> by alt-key: direct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 binding. </w:t>
      </w:r>
      <w:r>
        <w:rPr>
          <w:b/>
          <w:bCs/>
        </w:rPr>
        <w:t xml:space="preserve">DELETE</w:t>
      </w:r>
      <w:r>
        <w:t xml:space="preserve">: DELETE by key, same logging guarantees.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Import modes" title="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$batch engine</w:t>
      </w:r>
    </w:p>
    <w:p>
      <w:pPr>
        <w:spacing w:after="120"/>
      </w:pPr>
      <w:r>
        <w:t xml:space="preserve">The bridge chunks (≤500) across a worker pool (1-10, default 6). The content script builds the multipart: </w:t>
      </w:r>
      <w:r>
        <w:rPr>
          <w:b/>
          <w:bCs/>
        </w:rPr>
        <w:t xml:space="preserve">one changeset per record</w:t>
      </w:r>
      <w:r>
        <w:t xml:space="preserve"> (per-row atomicity, no batch rollback), If-Match/MSCRM headers injected per operation. Responses parsed by positional Content-ID → per-row log. 429: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 retry (30 s cap, 4 attempts) at the $batch level </w:t>
      </w:r>
      <w:r>
        <w:rPr>
          <w:b/>
          <w:bCs/>
        </w:rPr>
        <w:t xml:space="preserve">and</w:t>
      </w:r>
      <w:r>
        <w:t xml:space="preserve"> inside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dvRequest</w:t>
      </w:r>
      <w:r>
        <w:t xml:space="preserve"> (resolutions, pre-checks).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Cancellation</w:t>
      </w:r>
    </w:p>
    <w:p>
      <w:pPr>
        <w:spacing w:after="120"/>
      </w:pPr>
      <w:r>
        <w:t xml:space="preserve">Three levels: the bridge pool stops dispatching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shouldAbort</w:t>
      </w:r>
      <w:r>
        <w:t xml:space="preserve">), the content script receives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abortBatch</w:t>
      </w:r>
      <w:r>
        <w:t xml:space="preserve"> (run-scoped flag) which interrupts waiting 429 retries and remaining chunks,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resetBatchAbort</w:t>
      </w:r>
      <w:r>
        <w:t xml:space="preserve"> re-arms the next run. Guarantee: </w:t>
      </w:r>
      <w:r>
        <w:rPr>
          <w:b/>
          <w:bCs/>
        </w:rPr>
        <w:t xml:space="preserve">no writes after cancel</w:t>
      </w:r>
      <w:r>
        <w:t xml:space="preserve">.</w:t>
      </w:r>
    </w:p>
    <w:p>
      <w:pPr>
        <w:pStyle w:val="Heading2"/>
      </w:pPr>
      <w:r>
        <w:t xml:space="preserve">Logging</w:t>
      </w:r>
    </w:p>
    <w:p>
      <w:pPr>
        <w:spacing w:after="120"/>
      </w:pPr>
      <w:r>
        <w:t xml:space="preserve">Two structures: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fullLog</w:t>
      </w:r>
      <w:r>
        <w:t xml:space="preserve"> (ref, outside React — every row, O(1) memory per row) and a display buffer bounded at 2,000 entries (ring buffer, aggregated counters). Per-row details rebuild the exact request (same transforms + optionMaps as the send). Exports: full log, errors only, injection-protected CSV.</w:t>
      </w:r>
    </w:p>
    <w:p>
      <w:r>
        <w:br w:type="page"/>
      </w:r>
    </w:p>
    <w:p>
      <w:pPr>
        <w:pStyle w:val="Heading1"/>
      </w:pPr>
      <w:r>
        <w:t xml:space="preserve">6. Security</w:t>
      </w:r>
    </w:p>
    <w:p>
      <w:pPr>
        <w:spacing w:after="120"/>
      </w:pPr>
      <w:r>
        <w:t xml:space="preserve">Full 4-dimension audit + 7-angle code review in June 2026: </w:t>
      </w:r>
      <w:r>
        <w:rPr>
          <w:b/>
          <w:bCs/>
        </w:rPr>
        <w:t xml:space="preserve">0 open critical or high findings</w:t>
      </w:r>
      <w:r>
        <w:t xml:space="preserve">. All writes remain subject to server-side Dataverse roles.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0350"/>
            <wp:effectExtent t="0" r="0" b="0" l="0"/>
            <wp:docPr id="1" name="security.png" descr="Defense in depth" title="Defense in d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egress</w:t>
      </w:r>
      <w:r>
        <w:t xml:space="preserve">: every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fetch</w:t>
      </w:r>
      <w:r>
        <w:t xml:space="preserve"> targets the user's own org; no analytics, telemetry, CDNs or external fonts.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Systematic content-script validation: entity/field regexes, GUIDs, control-char stripping in key values (anti-CRLF in $batch).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API Tester: host re-validated after final URL assembly; history saved with </w:t>
      </w:r>
      <w:r>
        <w:rPr>
          <w:b/>
          <w:bCs/>
        </w:rPr>
        <w:t xml:space="preserve">secret headers redacted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exports: formula-injection prefix; XLSX: typed cells (strings are inert there).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MSCRM boosters gated on the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prvBypassCustomPlugins</w:t>
      </w:r>
      <w:r>
        <w:t xml:space="preserve"> privilege (System Administrator).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Explicit CSP on panel.html; non-enumerable content-script marker;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sender.id</w:t>
      </w:r>
      <w:r>
        <w:t xml:space="preserve"> checked in the service worker.</w:t>
      </w:r>
    </w:p>
    <w:p>
      <w:pPr>
        <w:pStyle w:val="Heading1"/>
      </w:pPr>
      <w:r>
        <w:t xml:space="preserve">7. Performance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rate-limit 30 req/s + 429 back-off; bulk worker pools (default 6; Dataverse allows 52 connections).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Virtual scrolling (~35 rendered rows regardless of volume); bounded live log (2,000) + full ref outside re-renders.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Lazy-loaded xlsx</w:t>
      </w:r>
      <w:r>
        <w:t xml:space="preserve">: panel ~490 KB; the ~430 KB xlsx chunk loads only on Excel drop/export.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Two-tier metadata cache; debounced searches; parallel OptionSet preloading.</w:t>
      </w:r>
    </w:p>
    <w:p>
      <w:pPr>
        <w:pStyle w:val="Heading1"/>
      </w:pPr>
      <w:r>
        <w:t xml:space="preserve">8. Build, tests &amp; release</w:t>
      </w:r>
    </w:p>
    <w:p>
      <w:pPr>
        <w:spacing w:after="120"/>
      </w:pPr>
      <w:r>
        <w:t xml:space="preserve">Vite (build &lt; 2 s) + post-build script (manifest/content/background copy, icons). </w:t>
      </w:r>
      <w:r>
        <w:rPr>
          <w:b/>
          <w:bCs/>
        </w:rPr>
        <w:t xml:space="preserve">207 Vitest tests</w:t>
      </w:r>
      <w:r>
        <w:t xml:space="preserve">: SQL parser (43), validations (30), loaderUtils (transforms, RFC-4180 parser, EntitySet resolution) and utilities.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 →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loadable in Developer Mode; release zip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colvio-&lt;version&gt;.zip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Flow: branch → PR → squash-merge → build → zip → Chrome Web Store upload.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kept in sync across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package.json</w:t>
      </w:r>
      <w:r>
        <w:t xml:space="preserve"> +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manifest.json</w:t>
      </w:r>
      <w:r>
        <w:t xml:space="preserve">; exhaustive CHANGELOG.md.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Source code: github.com/zmissoum/colvio — MIT license.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v1.10.26 — Technical Specification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a658c7b0a56634b3ee7d1d150286cb2aaffa8c3.png"/><Relationship Id="rId9" Type="http://schemas.openxmlformats.org/officeDocument/2006/relationships/image" Target="media/bc037ab195c51b3ea870c9cebd8a96bab2bb223f.png"/><Relationship Id="rId10" Type="http://schemas.openxmlformats.org/officeDocument/2006/relationships/image" Target="media/668625fd2e88d584f0e73a59937b95f5d49e8edd.png"/><Relationship Id="rId11" Type="http://schemas.openxmlformats.org/officeDocument/2006/relationships/image" Target="media/bb471ff10a5f76fb771f8522d1fdf0f4f706c9e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Technical Specification</dc:title>
  <dc:creator>Colvio</dc:creator>
  <cp:lastModifiedBy>Un-named</cp:lastModifiedBy>
  <cp:revision>1</cp:revision>
  <dcterms:created xsi:type="dcterms:W3CDTF">2026-06-11T18:04:11.077Z</dcterms:created>
  <dcterms:modified xsi:type="dcterms:W3CDTF">2026-06-11T18:04:11.077Z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