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5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0066FF"/>
          <w:sz w:val="56"/>
          <w:szCs w:val="56"/>
        </w:rPr>
        <w:t xml:space="preserve">COLVIO</w:t>
      </w:r>
    </w:p>
    <w:p>
      <w:pPr>
        <w:spacing w:after="100"/>
        <w:jc w:val="center"/>
      </w:pPr>
      <w:r>
        <w:rPr>
          <w:rFonts w:ascii="Arial" w:cs="Arial" w:eastAsia="Arial" w:hAnsi="Arial"/>
          <w:color w:val="005B70"/>
          <w:sz w:val="28"/>
          <w:szCs w:val="28"/>
        </w:rPr>
        <w:t xml:space="preserve">for Dataverse</w:t>
      </w:r>
    </w:p>
    <w:p>
      <w:pPr>
        <w:pBdr>
          <w:bottom w:val="single" w:color="0066FF" w:sz="6" w:space="1"/>
        </w:pBdr>
        <w:spacing w:after="500"/>
        <w:jc w:val="center"/>
      </w:pPr>
      <w:r>
        <w:rPr>
          <w:sz w:val="10"/>
          <w:szCs w:val="10"/>
        </w:rPr>
        <w:t xml:space="preserve"> 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333333"/>
          <w:sz w:val="40"/>
          <w:szCs w:val="40"/>
        </w:rPr>
        <w:t xml:space="preserve">Guide de Formation</w:t>
      </w:r>
    </w:p>
    <w:p>
      <w:pPr>
        <w:spacing w:after="80"/>
        <w:jc w:val="center"/>
      </w:pPr>
      <w:r>
        <w:rPr>
          <w:rFonts w:ascii="Arial" w:cs="Arial" w:eastAsia="Arial" w:hAnsi="Arial"/>
          <w:color w:val="6B7280"/>
          <w:sz w:val="24"/>
          <w:szCs w:val="24"/>
        </w:rPr>
        <w:t xml:space="preserve">Prise en main complète de l'outil</w:t>
      </w:r>
    </w:p>
    <w:p>
      <w:pPr>
        <w:spacing w:after="400"/>
        <w:jc w:val="center"/>
      </w:pPr>
      <w:r>
        <w:rPr>
          <w:rFonts w:ascii="Arial" w:cs="Arial" w:eastAsia="Arial" w:hAnsi="Arial"/>
          <w:color w:val="6B7280"/>
          <w:sz w:val="22"/>
          <w:szCs w:val="22"/>
        </w:rPr>
        <w:t xml:space="preserve">Version 1.5 — March 2026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Propriété</w:t>
            </w:r>
          </w:p>
        </w:tc>
        <w:tc>
          <w:tcPr>
            <w:tcW w:type="dxa" w:w="6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Valeur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Lignes de code</w:t>
            </w:r>
          </w:p>
        </w:tc>
        <w:tc>
          <w:tcPr>
            <w:tcW w:type="dxa" w:w="6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3,758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Stack</w:t>
            </w:r>
          </w:p>
        </w:tc>
        <w:tc>
          <w:tcPr>
            <w:tcW w:type="dxa" w:w="6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React 18 + Vite + Chrome Manifest V3 + SheetJS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API actions</w:t>
            </w:r>
          </w:p>
        </w:tc>
        <w:tc>
          <w:tcPr>
            <w:tcW w:type="dxa" w:w="6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20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Composants React</w:t>
            </w:r>
          </w:p>
        </w:tc>
        <w:tc>
          <w:tcPr>
            <w:tcW w:type="dxa" w:w="6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16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Dépendances runtime</w:t>
            </w:r>
          </w:p>
        </w:tc>
        <w:tc>
          <w:tcPr>
            <w:tcW w:type="dxa" w:w="6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SheetJS (xlsx export)</w:t>
            </w:r>
          </w:p>
        </w:tc>
      </w:tr>
    </w:tbl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before="400" w:after="140"/>
      </w:pPr>
      <w:r>
        <w:rPr>
          <w:rFonts w:ascii="Arial" w:cs="Arial" w:eastAsia="Arial" w:hAnsi="Arial"/>
          <w:b/>
          <w:bCs/>
          <w:color w:val="0066FF"/>
          <w:sz w:val="36"/>
          <w:szCs w:val="36"/>
        </w:rPr>
        <w:t xml:space="preserve">1. Installation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Clonez le dépôt et exécutez npm install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npm run build → le dossier dist/ est créé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chrome://extensions → Mode développeur → Charger dist/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Cliquez ⚡ sur une page D365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9040"/>
      </w:tblGrid>
      <w:tr>
        <w:tc>
          <w:tcPr>
            <w:tcW w:type="dxa" w:w="600"/>
            <w:tcBorders>
              <w:top w:val="single" w:color="D1D5DB" w:sz="1"/>
              <w:left w:val="single" w:color="005B70" w:sz="12"/>
              <w:bottom w:val="single" w:color="D1D5DB" w:sz="1"/>
              <w:right w:val="none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sz w:val="26"/>
                <w:szCs w:val="26"/>
              </w:rPr>
              <w:t xml:space="preserve">⚠️</w:t>
            </w:r>
          </w:p>
        </w:tc>
        <w:tc>
          <w:tcPr>
            <w:tcW w:type="dxa" w:w="9040"/>
            <w:tcBorders>
              <w:top w:val="single" w:color="D1D5DB" w:sz="1"/>
              <w:left w:val="none"/>
              <w:bottom w:val="single" w:color="D1D5DB" w:sz="1"/>
              <w:right w:val="single" w:color="D1D5DB" w:sz="1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333333"/>
                <w:sz w:val="24"/>
                <w:szCs w:val="24"/>
              </w:rPr>
              <w:t xml:space="preserve">Important</w:t>
            </w:r>
          </w:p>
          <w:p>
            <w:r>
              <w:rPr>
                <w:rFonts w:ascii="Arial" w:cs="Arial" w:eastAsia="Arial" w:hAnsi="Arial"/>
                <w:color w:val="555555"/>
                <w:sz w:val="22"/>
                <w:szCs w:val="22"/>
              </w:rPr>
              <w:t xml:space="preserve">L'onglet D365 doit rester ouvert pendant l'utilisation.</w:t>
            </w:r>
          </w:p>
        </w:tc>
      </w:tr>
    </w:tbl>
    <w:p>
      <w:r>
        <w:br w:type="page"/>
      </w:r>
    </w:p>
    <w:p>
      <w:pPr>
        <w:pStyle w:val="Heading1"/>
        <w:spacing w:before="400" w:after="140"/>
      </w:pPr>
      <w:r>
        <w:rPr>
          <w:rFonts w:ascii="Arial" w:cs="Arial" w:eastAsia="Arial" w:hAnsi="Arial"/>
          <w:b/>
          <w:bCs/>
          <w:color w:val="0066FF"/>
          <w:sz w:val="36"/>
          <w:szCs w:val="36"/>
        </w:rPr>
        <w:t xml:space="preserve">2. Data Explorer</w:t>
      </w:r>
    </w:p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2.1 Sélection d'entité</w:t>
      </w:r>
    </w:p>
    <w:p>
      <w:pPr>
        <w:spacing w:after="14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L'entité est auto-détectée depuis l'onglet D365. Le compteur de records s'affiche à côté du nom.</w:t>
      </w:r>
    </w:p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2.2 Champs (SELECT)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Ajouter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Cliquez + Champs. Recherche, filtre par type, toggle Custom.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Tout sélectionner / Aucun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Boutons accessibles sans ouvrir le picker.</w:t>
      </w:r>
    </w:p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2.3 Filtres (WHERE) — Avancé</w:t>
      </w:r>
    </w:p>
    <w:p>
      <w:pPr>
        <w:spacing w:after="14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Le WHERE supporte des groupes de filtres avec parenthèses :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40"/>
      </w:tblGrid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Fonctionnalité</w:t>
            </w:r>
          </w:p>
        </w:tc>
        <w:tc>
          <w:tcPr>
            <w:tcW w:type="dxa" w:w="6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Comportement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Condition simple</w:t>
            </w:r>
          </w:p>
        </w:tc>
        <w:tc>
          <w:tcPr>
            <w:tcW w:type="dxa" w:w="6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Champ → opérateur → valeur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Conditions multiples</w:t>
            </w:r>
          </w:p>
        </w:tc>
        <w:tc>
          <w:tcPr>
            <w:tcW w:type="dxa" w:w="6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Cliquez '+ condition'. Choisissez AND ou OR.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Groupes (parenthèses)</w:t>
            </w:r>
          </w:p>
        </w:tc>
        <w:tc>
          <w:tcPr>
            <w:tcW w:type="dxa" w:w="6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Cliquez '+ groupe'. Chaque groupe a son AND/OR. Groupes combinés par AND/OR global.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Exemple</w:t>
            </w:r>
          </w:p>
        </w:tc>
        <w:tc>
          <w:tcPr>
            <w:tcW w:type="dxa" w:w="6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(name contains 'Contoso' OR name contains 'Fabrikam') AND statecode eq 0</w:t>
            </w:r>
          </w:p>
        </w:tc>
      </w:tr>
    </w:tbl>
    <w:p>
      <w:pPr>
        <w:pStyle w:val="Heading3"/>
        <w:spacing w:before="240" w:after="140"/>
      </w:pPr>
      <w:r>
        <w:rPr>
          <w:rFonts w:ascii="Arial" w:cs="Arial" w:eastAsia="Arial" w:hAnsi="Arial"/>
          <w:b/>
          <w:bCs/>
          <w:color w:val="0066FF"/>
          <w:sz w:val="26"/>
          <w:szCs w:val="26"/>
        </w:rPr>
        <w:t xml:space="preserve">2.3.1 Opérateurs disponibles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6140"/>
      </w:tblGrid>
      <w:tr>
        <w:tc>
          <w:tcPr>
            <w:tcW w:type="dxa" w:w="3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Opérateur</w:t>
            </w:r>
          </w:p>
        </w:tc>
        <w:tc>
          <w:tcPr>
            <w:tcW w:type="dxa" w:w="61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Types</w:t>
            </w:r>
          </w:p>
        </w:tc>
      </w:tr>
      <w:tr>
        <w:tc>
          <w:tcPr>
            <w:tcW w:type="dxa" w:w="3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= ≠</w:t>
            </w:r>
          </w:p>
        </w:tc>
        <w:tc>
          <w:tcPr>
            <w:tcW w:type="dxa" w:w="61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Tous</w:t>
            </w:r>
          </w:p>
        </w:tc>
      </w:tr>
      <w:tr>
        <w:tc>
          <w:tcPr>
            <w:tcW w:type="dxa" w:w="3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&gt; &lt; ≥ ≤</w:t>
            </w:r>
          </w:p>
        </w:tc>
        <w:tc>
          <w:tcPr>
            <w:tcW w:type="dxa" w:w="61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Nombre, Date</w:t>
            </w:r>
          </w:p>
        </w:tc>
      </w:tr>
      <w:tr>
        <w:tc>
          <w:tcPr>
            <w:tcW w:type="dxa" w:w="3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contains / not contains</w:t>
            </w:r>
          </w:p>
        </w:tc>
        <w:tc>
          <w:tcPr>
            <w:tcW w:type="dxa" w:w="61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String, Memo</w:t>
            </w:r>
          </w:p>
        </w:tc>
      </w:tr>
      <w:tr>
        <w:tc>
          <w:tcPr>
            <w:tcW w:type="dxa" w:w="3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starts with / not starts with</w:t>
            </w:r>
          </w:p>
        </w:tc>
        <w:tc>
          <w:tcPr>
            <w:tcW w:type="dxa" w:w="61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String, Memo</w:t>
            </w:r>
          </w:p>
        </w:tc>
      </w:tr>
      <w:tr>
        <w:tc>
          <w:tcPr>
            <w:tcW w:type="dxa" w:w="3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ends with / not ends with</w:t>
            </w:r>
          </w:p>
        </w:tc>
        <w:tc>
          <w:tcPr>
            <w:tcW w:type="dxa" w:w="61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String, Memo</w:t>
            </w:r>
          </w:p>
        </w:tc>
      </w:tr>
      <w:tr>
        <w:tc>
          <w:tcPr>
            <w:tcW w:type="dxa" w:w="3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is null / is not null</w:t>
            </w:r>
          </w:p>
        </w:tc>
        <w:tc>
          <w:tcPr>
            <w:tcW w:type="dxa" w:w="61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Tous</w:t>
            </w:r>
          </w:p>
        </w:tc>
      </w:tr>
    </w:tbl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2.4 Jointures ($expand)</w:t>
      </w:r>
    </w:p>
    <w:p>
      <w:pPr>
        <w:spacing w:after="14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Cliquez Relations pour voir deux sections : ↑ Parent (N→1) pour les jointures lookup, et ↓ Enfants (1→N) pour les collections enfants. Exemple : sur Account, expand Opportunity pour voir les opportunités par compte.</w:t>
      </w:r>
    </w:p>
    <w:p>
      <w:pPr>
        <w:spacing w:after="14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Les valeurs des collections sont concaténées par virgule. Un champ caché __count indique le nombre d'enfants.</w:t>
      </w:r>
    </w:p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2.5 Exécution et export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Exécuter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Bouton vert ou Ctrl+Enter. Pagination automatique en arrière-plan.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Export XLSX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Fichier Excel natif avec colonnes auto-dimensionnées.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Copy Excel/CSV/JSON + Download CSV/JSON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Tous les records chargés inclus.</w:t>
      </w:r>
    </w:p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2.6 Requêtes sauvegardées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Sauvegarder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⭐ à côté d'Exécuter. Nommez la requête.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Charger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📂 → sélectionnez. Entité, champs, filtres, expands, limit restaurés.</w:t>
      </w:r>
    </w:p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2.7 Mode FetchXML</w:t>
      </w:r>
    </w:p>
    <w:p>
      <w:pPr>
        <w:spacing w:after="14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Cliquez FetchXML dans le toggle Builder / OData / FetchXML. Un textarea avec placeholder apparaît. 3 boutons template : Simple, Inner Join, Agrégation. Support pagination paging cookie.</w:t>
      </w:r>
    </w:p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2.8 Virtual Scrolling</w:t>
      </w:r>
    </w:p>
    <w:p>
      <w:pPr>
        <w:spacing w:after="14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Le tableau de résultats utilise le virtual scrolling. Seulement ~35 lignes rendues, même avec 10,000+ records. Scroll fluide à 60fps.</w:t>
      </w:r>
    </w:p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2.9 Liens Lookups</w:t>
      </w:r>
    </w:p>
    <w:p>
      <w:pPr>
        <w:spacing w:after="14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Les champs lookup affichent une icône ↗ cliquable. Ouvre le record cible directement dans D365 dans un nouvel onglet. Aucun appel API supplémentaire.</w:t>
      </w:r>
    </w:p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2.10 Cache métadonnées</w:t>
      </w:r>
    </w:p>
    <w:p>
      <w:pPr>
        <w:spacing w:after="14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Les métadonnées sont cachées localement (entités 2h, champs 1h). Cliquez '🔄 Vider le cache métadonnées' en bas de la sidebar pour forcer un refresh après des modifications de schéma.</w:t>
      </w:r>
    </w:p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2.7 Suppression en masse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Cochez les records via la colonne checkbox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Un bouton rouge 'Supprimer N record(s)' apparaît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Cliquez → confirmez l'action irréversible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Records supprimés de D365 et retirés du tableau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9040"/>
      </w:tblGrid>
      <w:tr>
        <w:tc>
          <w:tcPr>
            <w:tcW w:type="dxa" w:w="600"/>
            <w:tcBorders>
              <w:top w:val="single" w:color="D1D5DB" w:sz="1"/>
              <w:left w:val="single" w:color="005B70" w:sz="12"/>
              <w:bottom w:val="single" w:color="D1D5DB" w:sz="1"/>
              <w:right w:val="none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sz w:val="26"/>
                <w:szCs w:val="26"/>
              </w:rPr>
              <w:t xml:space="preserve">⚠️</w:t>
            </w:r>
          </w:p>
        </w:tc>
        <w:tc>
          <w:tcPr>
            <w:tcW w:type="dxa" w:w="9040"/>
            <w:tcBorders>
              <w:top w:val="single" w:color="D1D5DB" w:sz="1"/>
              <w:left w:val="none"/>
              <w:bottom w:val="single" w:color="D1D5DB" w:sz="1"/>
              <w:right w:val="single" w:color="D1D5DB" w:sz="1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333333"/>
                <w:sz w:val="24"/>
                <w:szCs w:val="24"/>
              </w:rPr>
              <w:t xml:space="preserve">Attention</w:t>
            </w:r>
          </w:p>
          <w:p>
            <w:r>
              <w:rPr>
                <w:rFonts w:ascii="Arial" w:cs="Arial" w:eastAsia="Arial" w:hAnsi="Arial"/>
                <w:color w:val="555555"/>
                <w:sz w:val="22"/>
                <w:szCs w:val="22"/>
              </w:rPr>
              <w:t xml:space="preserve">La suppression est permanente. Vérifiez que vous êtes sur SANDBOX (badge visible dans la sidebar).</w:t>
            </w:r>
          </w:p>
        </w:tc>
      </w:tr>
    </w:tbl>
    <w:p>
      <w:r>
        <w:br w:type="page"/>
      </w:r>
    </w:p>
    <w:p>
      <w:pPr>
        <w:pStyle w:val="Heading1"/>
        <w:spacing w:before="400" w:after="140"/>
      </w:pPr>
      <w:r>
        <w:rPr>
          <w:rFonts w:ascii="Arial" w:cs="Arial" w:eastAsia="Arial" w:hAnsi="Arial"/>
          <w:b/>
          <w:bCs/>
          <w:color w:val="0066FF"/>
          <w:sz w:val="36"/>
          <w:szCs w:val="36"/>
        </w:rPr>
        <w:t xml:space="preserve">3. Show All Data</w:t>
      </w:r>
    </w:p>
    <w:p>
      <w:pPr>
        <w:spacing w:after="14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Détecte le record ouvert dans D365. Bandeau violet avec clic unique. Tous les champs affichés avec nom API, type, valeur. Filtres : remplis/vides, custom uniquement.</w:t>
      </w:r>
    </w:p>
    <w:p>
      <w:pPr>
        <w:pStyle w:val="Heading1"/>
        <w:spacing w:before="400" w:after="140"/>
      </w:pPr>
      <w:r>
        <w:rPr>
          <w:rFonts w:ascii="Arial" w:cs="Arial" w:eastAsia="Arial" w:hAnsi="Arial"/>
          <w:b/>
          <w:bCs/>
          <w:color w:val="0066FF"/>
          <w:sz w:val="36"/>
          <w:szCs w:val="36"/>
        </w:rPr>
        <w:t xml:space="preserve">4. Metadata Browser</w:t>
      </w:r>
    </w:p>
    <w:p>
      <w:pPr>
        <w:spacing w:after="14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Parcourez les entités et champs. Visualisez les OptionSets avec codes int + labels.</w:t>
      </w:r>
    </w:p>
    <w:p>
      <w:pPr>
        <w:pStyle w:val="Heading1"/>
        <w:spacing w:before="400" w:after="140"/>
      </w:pPr>
      <w:r>
        <w:rPr>
          <w:rFonts w:ascii="Arial" w:cs="Arial" w:eastAsia="Arial" w:hAnsi="Arial"/>
          <w:b/>
          <w:bCs/>
          <w:color w:val="0066FF"/>
          <w:sz w:val="36"/>
          <w:szCs w:val="36"/>
        </w:rPr>
        <w:t xml:space="preserve">5. Login History</w:t>
      </w:r>
    </w:p>
    <w:p>
      <w:pPr>
        <w:spacing w:after="14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Recherchez un utilisateur. Timeline login/logout depuis l'Audit. Stats : connexions, jours actifs. Export CSV. Prérequis : activer l'Audit dans Paramètres D365.</w:t>
      </w:r>
    </w:p>
    <w:p>
      <w:pPr>
        <w:pStyle w:val="Heading1"/>
        <w:spacing w:before="400" w:after="140"/>
      </w:pPr>
      <w:r>
        <w:rPr>
          <w:rFonts w:ascii="Arial" w:cs="Arial" w:eastAsia="Arial" w:hAnsi="Arial"/>
          <w:b/>
          <w:bCs/>
          <w:color w:val="0066FF"/>
          <w:sz w:val="36"/>
          <w:szCs w:val="36"/>
        </w:rPr>
        <w:t xml:space="preserve">6. Data Loader</w:t>
      </w:r>
    </w:p>
    <w:p>
      <w:pPr>
        <w:spacing w:after="14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Wizard 5 étapes. Upload CSV ou coller depuis Excel. Auto-mapping intelligent : colonnes GUID auto-détectées comme lookups (🔗), clé primaire auto-exclue (🔑). Mode lookup : Résolution (cherche valeur→GUID) ou GUID direct (auto-détecté). UPSERT clé primaire : PATCH /entitySet(GUID). Transforms (statecode, picklist, boolean...). $batch OData (100 records/batch, ~10x). Résultats détaillés avec export erreurs CSV.</w:t>
      </w:r>
    </w:p>
    <w:p>
      <w:r>
        <w:br w:type="page"/>
      </w:r>
    </w:p>
    <w:p>
      <w:pPr>
        <w:pStyle w:val="Heading1"/>
        <w:spacing w:before="400" w:after="140"/>
      </w:pPr>
      <w:r>
        <w:rPr>
          <w:rFonts w:ascii="Arial" w:cs="Arial" w:eastAsia="Arial" w:hAnsi="Arial"/>
          <w:b/>
          <w:bCs/>
          <w:color w:val="0066FF"/>
          <w:sz w:val="36"/>
          <w:szCs w:val="36"/>
        </w:rPr>
        <w:t xml:space="preserve">7. Dépannage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40"/>
      </w:tblGrid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Problème</w:t>
            </w:r>
          </w:p>
        </w:tc>
        <w:tc>
          <w:tcPr>
            <w:tcW w:type="dxa" w:w="6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Solution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'Onglet D365 introuvable'</w:t>
            </w:r>
          </w:p>
        </w:tc>
        <w:tc>
          <w:tcPr>
            <w:tcW w:type="dxa" w:w="6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Rouvrez D365, cliquez ⚡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'Session expirée'</w:t>
            </w:r>
          </w:p>
        </w:tc>
        <w:tc>
          <w:tcPr>
            <w:tcW w:type="dxa" w:w="6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F5 sur l'onglet D365, puis ⚡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Erreur 400 sur requête</w:t>
            </w:r>
          </w:p>
        </w:tc>
        <w:tc>
          <w:tcPr>
            <w:tcW w:type="dxa" w:w="6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L'extension retente sans $select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Login History vide</w:t>
            </w:r>
          </w:p>
        </w:tc>
        <w:tc>
          <w:tcPr>
            <w:tcW w:type="dxa" w:w="6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Activez l'Audit dans Paramètres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statecode 'Active' rejeté</w:t>
            </w:r>
          </w:p>
        </w:tc>
        <w:tc>
          <w:tcPr>
            <w:tcW w:type="dxa" w:w="6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Ajoutez le transform 'statecode'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Écran blanc</w:t>
            </w:r>
          </w:p>
        </w:tc>
        <w:tc>
          <w:tcPr>
            <w:tcW w:type="dxa" w:w="6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F12 → Console → vérifiez l'erreur, rebuild npm run build</w:t>
            </w:r>
          </w:p>
        </w:tc>
      </w:tr>
    </w:tbl>
    <w:p>
      <w:pPr>
        <w:pStyle w:val="Heading1"/>
        <w:spacing w:before="400" w:after="140"/>
      </w:pPr>
      <w:r>
        <w:rPr>
          <w:rFonts w:ascii="Arial" w:cs="Arial" w:eastAsia="Arial" w:hAnsi="Arial"/>
          <w:b/>
          <w:bCs/>
          <w:color w:val="0066FF"/>
          <w:sz w:val="36"/>
          <w:szCs w:val="36"/>
        </w:rPr>
        <w:t xml:space="preserve">8. FAQ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Q : L'extension voit-elle mes données ?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Non. Requêtes directes navigateur → serveur D365.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Q : Faut-il une app registration Azure AD ?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Non. Session navigateur existante.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Q : Le Data Loader peut-il supprimer ?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Non. Utilisez la Suppression en masse du Data Explorer.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Q : Quelle vitesse pour $batch ?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~100 records/requête. 1000 records ≈ 10 requêtes au lieu de 1000.</w:t>
      </w:r>
    </w:p>
    <w:sectPr>
      <w:headerReference w:type="default" r:id="rId6"/>
      <w:footerReference w:type="default" r:id="rId7"/>
      <w:pgSz w:w="12240" w:h="15840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B7280"/>
        <w:sz w:val="18"/>
        <w:szCs w:val="18"/>
      </w:rPr>
      <w:t xml:space="preserve">Colvio / zmissoum — Page </w:t>
    </w:r>
    <w:r>
      <w:rPr>
        <w:rFonts w:ascii="Arial" w:cs="Arial" w:eastAsia="Arial" w:hAnsi="Arial"/>
        <w:color w:val="6B72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6B7280"/>
        <w:sz w:val="18"/>
        <w:szCs w:val="18"/>
      </w:rPr>
      <w:t xml:space="preserve">Colvio — Guide de Formation v1.5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00" w:after="200"/>
      <w:outlineLvl w:val="0"/>
    </w:pPr>
    <w:rPr>
      <w:rFonts w:ascii="Arial" w:cs="Arial" w:eastAsia="Arial" w:hAnsi="Arial"/>
      <w:b/>
      <w:bCs/>
      <w:color w:val="0066FF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280" w:after="180"/>
      <w:outlineLvl w:val="1"/>
    </w:pPr>
    <w:rPr>
      <w:rFonts w:ascii="Arial" w:cs="Arial" w:eastAsia="Arial" w:hAnsi="Arial"/>
      <w:b/>
      <w:bCs/>
      <w:color w:val="0066FF"/>
      <w:sz w:val="30"/>
      <w:szCs w:val="30"/>
    </w:rPr>
  </w:style>
  <w:style w:type="paragraph" w:styleId="Heading3">
    <w:name w:val="Heading 3"/>
    <w:basedOn w:val="Normal"/>
    <w:next w:val="Normal"/>
    <w:qFormat/>
    <w:pPr>
      <w:spacing w:before="220" w:after="140"/>
      <w:outlineLvl w:val="2"/>
    </w:pPr>
    <w:rPr>
      <w:rFonts w:ascii="Arial" w:cs="Arial" w:eastAsia="Arial" w:hAnsi="Arial"/>
      <w:b/>
      <w:bCs/>
      <w:color w:val="005B7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2026-03-23T19:27:24.707Z</dcterms:created>
  <dcterms:modified xsi:type="dcterms:W3CDTF">2026-03-23T19:27:24.707Z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