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500"/>
      </w:pPr>
    </w:p>
    <w:p>
      <w:pPr>
        <w:spacing w:after="200"/>
        <w:jc w:val="center"/>
      </w:pPr>
      <w:r>
        <w:rPr>
          <w:rFonts w:ascii="Arial" w:cs="Arial" w:eastAsia="Arial" w:hAnsi="Arial"/>
          <w:b/>
          <w:bCs/>
          <w:color w:val="0066FF"/>
          <w:sz w:val="56"/>
          <w:szCs w:val="56"/>
        </w:rPr>
        <w:t xml:space="preserve">COLVIO</w:t>
      </w:r>
    </w:p>
    <w:p>
      <w:pPr>
        <w:spacing w:after="100"/>
        <w:jc w:val="center"/>
      </w:pPr>
      <w:r>
        <w:rPr>
          <w:rFonts w:ascii="Arial" w:cs="Arial" w:eastAsia="Arial" w:hAnsi="Arial"/>
          <w:color w:val="005B70"/>
          <w:sz w:val="28"/>
          <w:szCs w:val="28"/>
        </w:rPr>
        <w:t xml:space="preserve">for Dataverse</w:t>
      </w:r>
    </w:p>
    <w:p>
      <w:pPr>
        <w:pBdr>
          <w:bottom w:val="single" w:color="B91C1C" w:sz="6" w:space="1"/>
        </w:pBdr>
        <w:spacing w:after="500"/>
        <w:jc w:val="center"/>
      </w:pPr>
      <w:r>
        <w:rPr>
          <w:sz w:val="10"/>
          <w:szCs w:val="10"/>
        </w:rPr>
        <w:t xml:space="preserve"> </w:t>
      </w:r>
    </w:p>
    <w:p>
      <w:pPr>
        <w:spacing w:after="200"/>
        <w:jc w:val="center"/>
      </w:pPr>
      <w:r>
        <w:rPr>
          <w:rFonts w:ascii="Arial" w:cs="Arial" w:eastAsia="Arial" w:hAnsi="Arial"/>
          <w:b/>
          <w:bCs/>
          <w:color w:val="333333"/>
          <w:sz w:val="40"/>
          <w:szCs w:val="40"/>
        </w:rPr>
        <w:t xml:space="preserve">Security Audit Report</w:t>
      </w:r>
    </w:p>
    <w:p>
      <w:pPr>
        <w:spacing w:after="80"/>
        <w:jc w:val="center"/>
      </w:pPr>
      <w:r>
        <w:rPr>
          <w:rFonts w:ascii="Arial" w:cs="Arial" w:eastAsia="Arial" w:hAnsi="Arial"/>
          <w:color w:val="6B7280"/>
          <w:sz w:val="24"/>
          <w:szCs w:val="24"/>
        </w:rPr>
        <w:t xml:space="preserve">Comprehensive code review and vulnerability assessment</w:t>
      </w:r>
    </w:p>
    <w:p>
      <w:pPr>
        <w:spacing w:after="400"/>
        <w:jc w:val="center"/>
      </w:pPr>
      <w:r>
        <w:rPr>
          <w:rFonts w:ascii="Arial" w:cs="Arial" w:eastAsia="Arial" w:hAnsi="Arial"/>
          <w:color w:val="6B7280"/>
          <w:sz w:val="22"/>
          <w:szCs w:val="22"/>
        </w:rPr>
        <w:t xml:space="preserve">Version 1.5 — March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Property</w:t>
            </w:r>
          </w:p>
        </w:tc>
        <w:tc>
          <w:tcPr>
            <w:tcW w:type="dxa" w:w="656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Value</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Scope</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Full codebase: content.js, background.js, d365-bridge.js, app.jsx, manifest.json</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Lines audited</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3,758</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Classification</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Confidential</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Methodology</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Static analysis + architecture review + OWASP Chrome Extension guidelines</w:t>
            </w:r>
          </w:p>
        </w:tc>
      </w:tr>
    </w:tbl>
    <w:p>
      <w:pPr>
        <w:sectPr>
          <w:pgSz w:w="12240" w:h="15840" w:orient="portrait"/>
          <w:pgMar w:top="1440" w:right="1440" w:bottom="1440" w:left="1440" w:header="708" w:footer="708" w:gutter="0"/>
          <w:pgNumType/>
          <w:docGrid w:linePitch="360"/>
        </w:sectPr>
      </w:pPr>
    </w:p>
    <w:p>
      <w:pPr>
        <w:pStyle w:val="Heading1"/>
        <w:spacing w:before="400" w:after="140"/>
      </w:pPr>
      <w:r>
        <w:rPr>
          <w:rFonts w:ascii="Arial" w:cs="Arial" w:eastAsia="Arial" w:hAnsi="Arial"/>
          <w:b/>
          <w:bCs/>
          <w:color w:val="0066FF"/>
          <w:sz w:val="36"/>
          <w:szCs w:val="36"/>
        </w:rPr>
        <w:t xml:space="preserve">1. Executive Summary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440"/>
      </w:tblGrid>
      <w:tr>
        <w:tc>
          <w:tcPr>
            <w:tcW w:type="dxa" w:w="20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Severity</w:t>
            </w:r>
          </w:p>
        </w:tc>
        <w:tc>
          <w:tcPr>
            <w:tcW w:type="dxa" w:w="12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Count</w:t>
            </w:r>
          </w:p>
        </w:tc>
        <w:tc>
          <w:tcPr>
            <w:tcW w:type="dxa" w:w="64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Status</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Critical</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0</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None found</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High</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2</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OData injection + bulk delete without RBAC</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Medium</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Debug logs in production + web_accessible_resources + missing input validation</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Overly broad host permissions + no rate limiting client-side + saved queries not encrypted</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Informational</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3</w:t>
            </w:r>
          </w:p>
        </w:tc>
        <w:tc>
          <w:tcPr>
            <w:tcW w:type="dxa" w:w="64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Best practices</w:t>
            </w:r>
          </w:p>
        </w:tc>
      </w:tr>
    </w:tbl>
    <w:p>
      <w:pPr>
        <w:spacing w:after="140"/>
      </w:pPr>
      <w:r>
        <w:rPr>
          <w:rFonts w:ascii="Arial" w:cs="Arial" w:eastAsia="Arial" w:hAnsi="Arial"/>
          <w:color w:val="333333"/>
          <w:sz w:val="24"/>
          <w:szCs w:val="24"/>
        </w:rPr>
        <w:t xml:space="preserve">Overall assessment: The extension has a good security posture for a developer tool. No critical vulnerabilities. Two high-severity issues require attention before public distribution. The extension does not store credentials, does not communicate with third-party servers, and inherits the user's D365 permissions.</w:t>
      </w:r>
    </w:p>
    <w:p>
      <w:r>
        <w:br w:type="page"/>
      </w:r>
    </w:p>
    <w:p>
      <w:pPr>
        <w:pStyle w:val="Heading1"/>
        <w:spacing w:before="400" w:after="140"/>
      </w:pPr>
      <w:r>
        <w:rPr>
          <w:rFonts w:ascii="Arial" w:cs="Arial" w:eastAsia="Arial" w:hAnsi="Arial"/>
          <w:b/>
          <w:bCs/>
          <w:color w:val="0066FF"/>
          <w:sz w:val="36"/>
          <w:szCs w:val="36"/>
        </w:rPr>
        <w:t xml:space="preserve">2. Architecture Security Review</w:t>
      </w:r>
    </w:p>
    <w:p>
      <w:pPr>
        <w:pStyle w:val="Heading2"/>
        <w:spacing w:before="240" w:after="140"/>
      </w:pPr>
      <w:r>
        <w:rPr>
          <w:rFonts w:ascii="Arial" w:cs="Arial" w:eastAsia="Arial" w:hAnsi="Arial"/>
          <w:b/>
          <w:bCs/>
          <w:color w:val="0066FF"/>
          <w:sz w:val="30"/>
          <w:szCs w:val="30"/>
        </w:rPr>
        <w:t xml:space="preserve">2.1 Trust Boundaries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640"/>
      </w:tblGrid>
      <w:tr>
        <w:tc>
          <w:tcPr>
            <w:tcW w:type="dxa" w:w="28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Boundary</w:t>
            </w:r>
          </w:p>
        </w:tc>
        <w:tc>
          <w:tcPr>
            <w:tcW w:type="dxa" w:w="22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Trust Level</w:t>
            </w:r>
          </w:p>
        </w:tc>
        <w:tc>
          <w:tcPr>
            <w:tcW w:type="dxa" w:w="46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Comment</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User's browser → D365 API</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Trusted (same-origin)</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Uses Azure AD session cookies. No custom auth.</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Panel (Tab B) → Background.js</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Chrome runtime messaging</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Scoped to extension ID. Cannot be spoofed by web pages.</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Background.js → Content script (Tab A)</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chrome.tabs.sendMessage</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Scoped to registered content script tab.</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Content script → D365 fetch()</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Same-origin with cookies</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credentials: 'same-origin'. No CORS needed.</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chrome.storage.local</w:t>
            </w:r>
          </w:p>
        </w:tc>
        <w:tc>
          <w:tcPr>
            <w:tcW w:type="dxa" w:w="2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Extension-only</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Not accessible by web pages. Stores saved queries.</w:t>
            </w:r>
          </w:p>
        </w:tc>
      </w:tr>
    </w:tbl>
    <w:p>
      <w:pPr>
        <w:pStyle w:val="Heading2"/>
        <w:spacing w:before="240" w:after="140"/>
      </w:pPr>
      <w:r>
        <w:rPr>
          <w:rFonts w:ascii="Arial" w:cs="Arial" w:eastAsia="Arial" w:hAnsi="Arial"/>
          <w:b/>
          <w:bCs/>
          <w:color w:val="0066FF"/>
          <w:sz w:val="30"/>
          <w:szCs w:val="30"/>
        </w:rPr>
        <w:t xml:space="preserve">2.2 Data Flow</w:t>
      </w:r>
    </w:p>
    <w:p>
      <w:pPr>
        <w:pStyle w:val="ListParagraph"/>
        <w:numPr>
          <w:ilvl w:val="0"/>
          <w:numId w:val="2"/>
        </w:numPr>
        <w:spacing w:after="80"/>
      </w:pPr>
      <w:r>
        <w:rPr>
          <w:rFonts w:ascii="Arial" w:cs="Arial" w:eastAsia="Arial" w:hAnsi="Arial"/>
          <w:color w:val="333333"/>
          <w:sz w:val="24"/>
          <w:szCs w:val="24"/>
        </w:rPr>
        <w:t xml:space="preserve">No data leaves the browser. All requests go directly to the user's D365 server.</w:t>
      </w:r>
    </w:p>
    <w:p>
      <w:pPr>
        <w:pStyle w:val="ListParagraph"/>
        <w:numPr>
          <w:ilvl w:val="0"/>
          <w:numId w:val="2"/>
        </w:numPr>
        <w:spacing w:after="80"/>
      </w:pPr>
      <w:r>
        <w:rPr>
          <w:rFonts w:ascii="Arial" w:cs="Arial" w:eastAsia="Arial" w:hAnsi="Arial"/>
          <w:color w:val="333333"/>
          <w:sz w:val="24"/>
          <w:szCs w:val="24"/>
        </w:rPr>
        <w:t xml:space="preserve">No telemetry, analytics, or crash reporting.</w:t>
      </w:r>
    </w:p>
    <w:p>
      <w:pPr>
        <w:pStyle w:val="ListParagraph"/>
        <w:numPr>
          <w:ilvl w:val="0"/>
          <w:numId w:val="2"/>
        </w:numPr>
        <w:spacing w:after="80"/>
      </w:pPr>
      <w:r>
        <w:rPr>
          <w:rFonts w:ascii="Arial" w:cs="Arial" w:eastAsia="Arial" w:hAnsi="Arial"/>
          <w:color w:val="333333"/>
          <w:sz w:val="24"/>
          <w:szCs w:val="24"/>
        </w:rPr>
        <w:t xml:space="preserve">No external CDN, font loading, or third-party scripts.</w:t>
      </w:r>
    </w:p>
    <w:p>
      <w:pPr>
        <w:pStyle w:val="ListParagraph"/>
        <w:numPr>
          <w:ilvl w:val="0"/>
          <w:numId w:val="2"/>
        </w:numPr>
        <w:spacing w:after="80"/>
      </w:pPr>
      <w:r>
        <w:rPr>
          <w:rFonts w:ascii="Arial" w:cs="Arial" w:eastAsia="Arial" w:hAnsi="Arial"/>
          <w:color w:val="333333"/>
          <w:sz w:val="24"/>
          <w:szCs w:val="24"/>
        </w:rPr>
        <w:t xml:space="preserve">The extension bundle is self-contained (React + SheetJS bundled by Vite).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No external data exfiltration</w:t>
            </w:r>
          </w:p>
          <w:p>
            <w:r>
              <w:rPr>
                <w:rFonts w:ascii="Arial" w:cs="Arial" w:eastAsia="Arial" w:hAnsi="Arial"/>
                <w:color w:val="555555"/>
                <w:sz w:val="22"/>
                <w:szCs w:val="22"/>
              </w:rPr>
              <w:t xml:space="preserve">Grep for XMLHttpRequest, navigator.sendBeacon, WebSocket, new Image, fetch to non-dynamics.com domains: zero results. The extension only communicates with *.dynamics.com.</w:t>
            </w:r>
          </w:p>
        </w:tc>
      </w:tr>
    </w:tbl>
    <w:p>
      <w:r>
        <w:br w:type="page"/>
      </w:r>
    </w:p>
    <w:p>
      <w:pPr>
        <w:pStyle w:val="Heading1"/>
        <w:spacing w:before="400" w:after="140"/>
      </w:pPr>
      <w:r>
        <w:rPr>
          <w:rFonts w:ascii="Arial" w:cs="Arial" w:eastAsia="Arial" w:hAnsi="Arial"/>
          <w:b/>
          <w:bCs/>
          <w:color w:val="0066FF"/>
          <w:sz w:val="36"/>
          <w:szCs w:val="36"/>
        </w:rPr>
        <w:t xml:space="preserve">3. High Severity Findings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D97706" w:sz="12"/>
              <w:bottom w:val="single" w:color="D1D5DB" w:sz="1"/>
              <w:right w:val="none"/>
            </w:tcBorders>
            <w:shd w:fill="FFF7ED" w:val="clear"/>
            <w:tcMar>
              <w:top w:type="dxa" w:w="80"/>
              <w:left w:type="dxa" w:w="120"/>
              <w:bottom w:type="dxa" w:w="80"/>
              <w:right w:type="dxa" w:w="120"/>
            </w:tcMar>
          </w:tcPr>
          <w:p>
            <w:pPr>
              <w:jc w:val="center"/>
            </w:pPr>
            <w:r>
              <w:rPr>
                <w:rFonts w:ascii="Arial" w:cs="Arial" w:eastAsia="Arial" w:hAnsi="Arial"/>
                <w:b/>
                <w:bCs/>
                <w:color w:val="D97706"/>
                <w:sz w:val="20"/>
                <w:szCs w:val="20"/>
              </w:rPr>
              <w:t xml:space="preserve">HIGH</w:t>
            </w:r>
          </w:p>
        </w:tc>
        <w:tc>
          <w:tcPr>
            <w:tcW w:type="dxa" w:w="8440"/>
            <w:tcBorders>
              <w:top w:val="single" w:color="D1D5DB" w:sz="1"/>
              <w:left w:val="none"/>
              <w:bottom w:val="single" w:color="D1D5DB" w:sz="1"/>
              <w:right w:val="single" w:color="D1D5DB" w:sz="1"/>
            </w:tcBorders>
            <w:shd w:fill="FFF7ED"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H1 — OData Injection via params.logicalName</w:t>
            </w:r>
          </w:p>
          <w:p>
            <w:r>
              <w:rPr>
                <w:rFonts w:ascii="Arial" w:cs="Arial" w:eastAsia="Arial" w:hAnsi="Arial"/>
                <w:color w:val="555555"/>
                <w:sz w:val="22"/>
                <w:szCs w:val="22"/>
              </w:rPr>
              <w:t xml:space="preserve">content.js lines 137, 254, 370: User-controlled values (params.logicalName, params.entitySet) are interpolated directly into OData URL paths without validation. While the attack surface is limited (the attacker would need to control the Chrome extension messaging), a malicious extension or compromised panel could craft a logicalName like account')/Attributes?$select=name&amp;$filter=name eq 'injected to manipulate the API call.</w:t>
            </w:r>
          </w:p>
        </w:tc>
      </w:tr>
    </w:tbl>
    <w:p>
      <w:pPr>
        <w:spacing w:after="140"/>
      </w:pPr>
      <w:r>
        <w:rPr>
          <w:rFonts w:ascii="Arial" w:cs="Arial" w:eastAsia="Arial" w:hAnsi="Arial"/>
          <w:color w:val="333333"/>
          <w:sz w:val="24"/>
          <w:szCs w:val="24"/>
        </w:rPr>
        <w:t xml:space="preserve">Affected code:</w:t>
      </w:r>
    </w:p>
    <w:p>
      <w:pPr>
        <w:spacing w:after="140"/>
      </w:pPr>
      <w:r>
        <w:rPr>
          <w:rFonts w:ascii="Arial" w:cs="Arial" w:eastAsia="Arial" w:hAnsi="Arial"/>
          <w:b/>
          <w:bCs/>
          <w:color w:val="B91C1C"/>
          <w:sz w:val="24"/>
          <w:szCs w:val="24"/>
        </w:rPr>
        <w:t xml:space="preserve">EntityDefinitions(LogicalName='${params.logicalName}')/Attributes</w:t>
      </w:r>
    </w:p>
    <w:p>
      <w:pPr>
        <w:spacing w:after="140"/>
      </w:pPr>
      <w:r>
        <w:rPr>
          <w:rFonts w:ascii="Arial" w:cs="Arial" w:eastAsia="Arial" w:hAnsi="Arial"/>
          <w:b/>
          <w:bCs/>
          <w:color w:val="B91C1C"/>
          <w:sz w:val="24"/>
          <w:szCs w:val="24"/>
        </w:rPr>
        <w:t xml:space="preserve">EntityDefinitions(LogicalName='${params.logicalName}')?$select=EntitySetName</w:t>
      </w:r>
    </w:p>
    <w:p>
      <w:pPr>
        <w:spacing w:after="140"/>
      </w:pPr>
      <w:r>
        <w:rPr>
          <w:rFonts w:ascii="Arial" w:cs="Arial" w:eastAsia="Arial" w:hAnsi="Arial"/>
          <w:b/>
          <w:bCs/>
          <w:color w:val="B91C1C"/>
          <w:sz w:val="24"/>
          <w:szCs w:val="24"/>
        </w:rPr>
        <w:t xml:space="preserve">${params.entitySet}(${params.keyField}='${params.keyValue}')</w:t>
      </w:r>
    </w:p>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Validate params.logicalName against ^[a-z_][a-z0-9_]*$ regex before interpolation</w:t>
      </w:r>
    </w:p>
    <w:p>
      <w:pPr>
        <w:pStyle w:val="ListParagraph"/>
        <w:numPr>
          <w:ilvl w:val="0"/>
          <w:numId w:val="2"/>
        </w:numPr>
        <w:spacing w:after="80"/>
      </w:pPr>
      <w:r>
        <w:rPr>
          <w:rFonts w:ascii="Arial" w:cs="Arial" w:eastAsia="Arial" w:hAnsi="Arial"/>
          <w:color w:val="333333"/>
          <w:sz w:val="24"/>
          <w:szCs w:val="24"/>
        </w:rPr>
        <w:t xml:space="preserve">Validate params.entitySet against ^[a-z_][a-z0-9_]*$ regex</w:t>
      </w:r>
    </w:p>
    <w:p>
      <w:pPr>
        <w:pStyle w:val="ListParagraph"/>
        <w:numPr>
          <w:ilvl w:val="0"/>
          <w:numId w:val="2"/>
        </w:numPr>
        <w:spacing w:after="80"/>
      </w:pPr>
      <w:r>
        <w:rPr>
          <w:rFonts w:ascii="Arial" w:cs="Arial" w:eastAsia="Arial" w:hAnsi="Arial"/>
          <w:color w:val="333333"/>
          <w:sz w:val="24"/>
          <w:szCs w:val="24"/>
        </w:rPr>
        <w:t xml:space="preserve">Validate params.keyValue for GUID format or safe string pattern</w:t>
      </w:r>
    </w:p>
    <w:p>
      <w:pPr>
        <w:pStyle w:val="ListParagraph"/>
        <w:numPr>
          <w:ilvl w:val="0"/>
          <w:numId w:val="2"/>
        </w:numPr>
        <w:spacing w:after="80"/>
      </w:pPr>
      <w:r>
        <w:rPr>
          <w:rFonts w:ascii="Arial" w:cs="Arial" w:eastAsia="Arial" w:hAnsi="Arial"/>
          <w:color w:val="333333"/>
          <w:sz w:val="24"/>
          <w:szCs w:val="24"/>
        </w:rPr>
        <w:t xml:space="preserve">Validate params.keyField against ^[a-z_][a-z0-9_]*$ regex</w:t>
      </w:r>
    </w:p>
    <w:p>
      <w:pPr>
        <w:spacing w:after="140"/>
      </w:pPr>
      <w:r>
        <w:rPr>
          <w:rFonts w:ascii="Arial" w:cs="Arial" w:eastAsia="Arial" w:hAnsi="Arial"/>
          <w:color w:val="333333"/>
          <w:sz w:val="24"/>
          <w:szCs w:val="24"/>
        </w:rPr>
        <w:t xml:space="preserve">Risk assessment: Low in practice — the panel is an extension page (chrome-extension:// origin), not a web page. External websites cannot send messages to the extension. The risk exists only if the panel React code itself is compromised (XSS in the panel), which would require a separate vulnerability.</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D97706" w:sz="12"/>
              <w:bottom w:val="single" w:color="D1D5DB" w:sz="1"/>
              <w:right w:val="none"/>
            </w:tcBorders>
            <w:shd w:fill="FFF7ED" w:val="clear"/>
            <w:tcMar>
              <w:top w:type="dxa" w:w="80"/>
              <w:left w:type="dxa" w:w="120"/>
              <w:bottom w:type="dxa" w:w="80"/>
              <w:right w:type="dxa" w:w="120"/>
            </w:tcMar>
          </w:tcPr>
          <w:p>
            <w:pPr>
              <w:jc w:val="center"/>
            </w:pPr>
            <w:r>
              <w:rPr>
                <w:rFonts w:ascii="Arial" w:cs="Arial" w:eastAsia="Arial" w:hAnsi="Arial"/>
                <w:b/>
                <w:bCs/>
                <w:color w:val="D97706"/>
                <w:sz w:val="20"/>
                <w:szCs w:val="20"/>
              </w:rPr>
              <w:t xml:space="preserve">HIGH</w:t>
            </w:r>
          </w:p>
        </w:tc>
        <w:tc>
          <w:tcPr>
            <w:tcW w:type="dxa" w:w="8440"/>
            <w:tcBorders>
              <w:top w:val="single" w:color="D1D5DB" w:sz="1"/>
              <w:left w:val="none"/>
              <w:bottom w:val="single" w:color="D1D5DB" w:sz="1"/>
              <w:right w:val="single" w:color="D1D5DB" w:sz="1"/>
            </w:tcBorders>
            <w:shd w:fill="FFF7ED"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H2 — Bulk Delete Without Server-Side RBAC Check</w:t>
            </w:r>
          </w:p>
          <w:p>
            <w:r>
              <w:rPr>
                <w:rFonts w:ascii="Arial" w:cs="Arial" w:eastAsia="Arial" w:hAnsi="Arial"/>
                <w:color w:val="555555"/>
                <w:sz w:val="22"/>
                <w:szCs w:val="22"/>
              </w:rPr>
              <w:t xml:space="preserve">The bulk delete feature sends sequential DELETE requests using the user's session. While D365 server-side security will reject unauthorized deletes (403), the extension does not pre-check the user's delete permissions on the entity before attempting. This could lead to partial deletes (some records deleted before hitting a permission error) and confusing error states.</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Before bulk delete, query the user's privileges on the entity via RetrieveUserPrivileges or check the entity metadata's CanBeDeleted property</w:t>
      </w:r>
    </w:p>
    <w:p>
      <w:pPr>
        <w:pStyle w:val="ListParagraph"/>
        <w:numPr>
          <w:ilvl w:val="0"/>
          <w:numId w:val="2"/>
        </w:numPr>
        <w:spacing w:after="80"/>
      </w:pPr>
      <w:r>
        <w:rPr>
          <w:rFonts w:ascii="Arial" w:cs="Arial" w:eastAsia="Arial" w:hAnsi="Arial"/>
          <w:color w:val="333333"/>
          <w:sz w:val="24"/>
          <w:szCs w:val="24"/>
        </w:rPr>
        <w:t xml:space="preserve">Add a dry-run mode that validates all records are deletable before executing</w:t>
      </w:r>
    </w:p>
    <w:p>
      <w:pPr>
        <w:pStyle w:val="ListParagraph"/>
        <w:numPr>
          <w:ilvl w:val="0"/>
          <w:numId w:val="2"/>
        </w:numPr>
        <w:spacing w:after="80"/>
      </w:pPr>
      <w:r>
        <w:rPr>
          <w:rFonts w:ascii="Arial" w:cs="Arial" w:eastAsia="Arial" w:hAnsi="Arial"/>
          <w:color w:val="333333"/>
          <w:sz w:val="24"/>
          <w:szCs w:val="24"/>
        </w:rPr>
        <w:t xml:space="preserve">Consider a maximum batch size limit (e.g., 100 records max per bulk delete)</w:t>
      </w:r>
    </w:p>
    <w:p>
      <w:r>
        <w:br w:type="page"/>
      </w:r>
    </w:p>
    <w:p>
      <w:pPr>
        <w:pStyle w:val="Heading1"/>
        <w:spacing w:before="400" w:after="140"/>
      </w:pPr>
      <w:r>
        <w:rPr>
          <w:rFonts w:ascii="Arial" w:cs="Arial" w:eastAsia="Arial" w:hAnsi="Arial"/>
          <w:b/>
          <w:bCs/>
          <w:color w:val="0066FF"/>
          <w:sz w:val="36"/>
          <w:szCs w:val="36"/>
        </w:rPr>
        <w:t xml:space="preserve">4. Medium Severity Findings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CA8A04" w:sz="12"/>
              <w:bottom w:val="single" w:color="D1D5DB" w:sz="1"/>
              <w:right w:val="none"/>
            </w:tcBorders>
            <w:shd w:fill="FFFBEB" w:val="clear"/>
            <w:tcMar>
              <w:top w:type="dxa" w:w="80"/>
              <w:left w:type="dxa" w:w="120"/>
              <w:bottom w:type="dxa" w:w="80"/>
              <w:right w:type="dxa" w:w="120"/>
            </w:tcMar>
          </w:tcPr>
          <w:p>
            <w:pPr>
              <w:jc w:val="center"/>
            </w:pPr>
            <w:r>
              <w:rPr>
                <w:rFonts w:ascii="Arial" w:cs="Arial" w:eastAsia="Arial" w:hAnsi="Arial"/>
                <w:b/>
                <w:bCs/>
                <w:color w:val="CA8A04"/>
                <w:sz w:val="20"/>
                <w:szCs w:val="20"/>
              </w:rPr>
              <w:t xml:space="preserve">MEDIUM</w:t>
            </w:r>
          </w:p>
        </w:tc>
        <w:tc>
          <w:tcPr>
            <w:tcW w:type="dxa" w:w="8440"/>
            <w:tcBorders>
              <w:top w:val="single" w:color="D1D5DB" w:sz="1"/>
              <w:left w:val="none"/>
              <w:bottom w:val="single" w:color="D1D5DB" w:sz="1"/>
              <w:right w:val="single" w:color="D1D5DB" w:sz="1"/>
            </w:tcBorders>
            <w:shd w:fill="FFFBEB"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M1 — Debug console.log Statements in Production</w:t>
            </w:r>
          </w:p>
          <w:p>
            <w:r>
              <w:rPr>
                <w:rFonts w:ascii="Arial" w:cs="Arial" w:eastAsia="Arial" w:hAnsi="Arial"/>
                <w:color w:val="555555"/>
                <w:sz w:val="22"/>
                <w:szCs w:val="22"/>
              </w:rPr>
              <w:t xml:space="preserve">d365-bridge.js and app.jsx contain console.log statements that output record payloads, API responses, and entity data. In production, these logs expose potentially sensitive D365 data in the browser console accessible to anyone with F12 access on the same machine.</w:t>
            </w:r>
          </w:p>
        </w:tc>
      </w:tr>
    </w:tbl>
    <w:p>
      <w:pPr>
        <w:spacing w:after="140"/>
      </w:pPr>
      <w:r>
        <w:rPr>
          <w:rFonts w:ascii="Arial" w:cs="Arial" w:eastAsia="Arial" w:hAnsi="Arial"/>
          <w:color w:val="333333"/>
          <w:sz w:val="24"/>
          <w:szCs w:val="24"/>
        </w:rPr>
        <w:t xml:space="preserve">Affected: bridge.js lines 115-117 (CREATE payload), app.jsx (Loader progress logging).</w:t>
      </w:r>
    </w:p>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Remove or gate debug logs behind a DEBUG flag: if (import.meta.env.DEV) console.log(...)</w:t>
      </w:r>
    </w:p>
    <w:p>
      <w:pPr>
        <w:pStyle w:val="ListParagraph"/>
        <w:numPr>
          <w:ilvl w:val="0"/>
          <w:numId w:val="2"/>
        </w:numPr>
        <w:spacing w:after="80"/>
      </w:pPr>
      <w:r>
        <w:rPr>
          <w:rFonts w:ascii="Arial" w:cs="Arial" w:eastAsia="Arial" w:hAnsi="Arial"/>
          <w:color w:val="333333"/>
          <w:sz w:val="24"/>
          <w:szCs w:val="24"/>
        </w:rPr>
        <w:t xml:space="preserve">Never log full record payloads — log only record count and status</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CA8A04" w:sz="12"/>
              <w:bottom w:val="single" w:color="D1D5DB" w:sz="1"/>
              <w:right w:val="none"/>
            </w:tcBorders>
            <w:shd w:fill="FFFBEB" w:val="clear"/>
            <w:tcMar>
              <w:top w:type="dxa" w:w="80"/>
              <w:left w:type="dxa" w:w="120"/>
              <w:bottom w:type="dxa" w:w="80"/>
              <w:right w:type="dxa" w:w="120"/>
            </w:tcMar>
          </w:tcPr>
          <w:p>
            <w:pPr>
              <w:jc w:val="center"/>
            </w:pPr>
            <w:r>
              <w:rPr>
                <w:rFonts w:ascii="Arial" w:cs="Arial" w:eastAsia="Arial" w:hAnsi="Arial"/>
                <w:b/>
                <w:bCs/>
                <w:color w:val="CA8A04"/>
                <w:sz w:val="20"/>
                <w:szCs w:val="20"/>
              </w:rPr>
              <w:t xml:space="preserve">MEDIUM</w:t>
            </w:r>
          </w:p>
        </w:tc>
        <w:tc>
          <w:tcPr>
            <w:tcW w:type="dxa" w:w="8440"/>
            <w:tcBorders>
              <w:top w:val="single" w:color="D1D5DB" w:sz="1"/>
              <w:left w:val="none"/>
              <w:bottom w:val="single" w:color="D1D5DB" w:sz="1"/>
              <w:right w:val="single" w:color="D1D5DB" w:sz="1"/>
            </w:tcBorders>
            <w:shd w:fill="FFFBEB"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M2 — web_accessible_resources Exposure</w:t>
            </w:r>
          </w:p>
          <w:p>
            <w:r>
              <w:rPr>
                <w:rFonts w:ascii="Arial" w:cs="Arial" w:eastAsia="Arial" w:hAnsi="Arial"/>
                <w:color w:val="555555"/>
                <w:sz w:val="22"/>
                <w:szCs w:val="22"/>
              </w:rPr>
              <w:t xml:space="preserve">manifest.json declares panel.html and assets/* as web_accessible_resources matching https://*.dynamics.com/*. This means any JavaScript running on a D365 page can load the panel HTML and assets. While this doesn't directly leak data (the panel requires URL params to connect), it exposes the extension's internal UI structure.</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Remove web_accessible_resources if the panel is only opened via chrome.tabs.create (which doesn't need it)</w:t>
      </w:r>
    </w:p>
    <w:p>
      <w:pPr>
        <w:pStyle w:val="ListParagraph"/>
        <w:numPr>
          <w:ilvl w:val="0"/>
          <w:numId w:val="2"/>
        </w:numPr>
        <w:spacing w:after="80"/>
      </w:pPr>
      <w:r>
        <w:rPr>
          <w:rFonts w:ascii="Arial" w:cs="Arial" w:eastAsia="Arial" w:hAnsi="Arial"/>
          <w:color w:val="333333"/>
          <w:sz w:val="24"/>
          <w:szCs w:val="24"/>
        </w:rPr>
        <w:t xml:space="preserve">If required, restrict to the minimum: just panel.html, not assets/*</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CA8A04" w:sz="12"/>
              <w:bottom w:val="single" w:color="D1D5DB" w:sz="1"/>
              <w:right w:val="none"/>
            </w:tcBorders>
            <w:shd w:fill="FFFBEB" w:val="clear"/>
            <w:tcMar>
              <w:top w:type="dxa" w:w="80"/>
              <w:left w:type="dxa" w:w="120"/>
              <w:bottom w:type="dxa" w:w="80"/>
              <w:right w:type="dxa" w:w="120"/>
            </w:tcMar>
          </w:tcPr>
          <w:p>
            <w:pPr>
              <w:jc w:val="center"/>
            </w:pPr>
            <w:r>
              <w:rPr>
                <w:rFonts w:ascii="Arial" w:cs="Arial" w:eastAsia="Arial" w:hAnsi="Arial"/>
                <w:b/>
                <w:bCs/>
                <w:color w:val="CA8A04"/>
                <w:sz w:val="20"/>
                <w:szCs w:val="20"/>
              </w:rPr>
              <w:t xml:space="preserve">MEDIUM</w:t>
            </w:r>
          </w:p>
        </w:tc>
        <w:tc>
          <w:tcPr>
            <w:tcW w:type="dxa" w:w="8440"/>
            <w:tcBorders>
              <w:top w:val="single" w:color="D1D5DB" w:sz="1"/>
              <w:left w:val="none"/>
              <w:bottom w:val="single" w:color="D1D5DB" w:sz="1"/>
              <w:right w:val="single" w:color="D1D5DB" w:sz="1"/>
            </w:tcBorders>
            <w:shd w:fill="FFFBEB"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M3 — Missing Input Validation on WHERE Filter Values</w:t>
            </w:r>
          </w:p>
          <w:p>
            <w:r>
              <w:rPr>
                <w:rFonts w:ascii="Arial" w:cs="Arial" w:eastAsia="Arial" w:hAnsi="Arial"/>
                <w:color w:val="555555"/>
                <w:sz w:val="22"/>
                <w:szCs w:val="22"/>
              </w:rPr>
              <w:t xml:space="preserve">User input in WHERE filter values (app.jsx buildFilter) is escaped for single quotes (replace(/'/g, "''")) but not validated for other OData injection patterns. While the Dataverse API itself provides server-side protection, defense-in-depth requires client-side validation.</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For integer fields: validate value matches ^-?\d+$ before sending</w:t>
      </w:r>
    </w:p>
    <w:p>
      <w:pPr>
        <w:pStyle w:val="ListParagraph"/>
        <w:numPr>
          <w:ilvl w:val="0"/>
          <w:numId w:val="2"/>
        </w:numPr>
        <w:spacing w:after="80"/>
      </w:pPr>
      <w:r>
        <w:rPr>
          <w:rFonts w:ascii="Arial" w:cs="Arial" w:eastAsia="Arial" w:hAnsi="Arial"/>
          <w:color w:val="333333"/>
          <w:sz w:val="24"/>
          <w:szCs w:val="24"/>
        </w:rPr>
        <w:t xml:space="preserve">For GUID fields: validate ^[0-9a-f]{8}-[0-9a-f]{4}-... format</w:t>
      </w:r>
    </w:p>
    <w:p>
      <w:pPr>
        <w:pStyle w:val="ListParagraph"/>
        <w:numPr>
          <w:ilvl w:val="0"/>
          <w:numId w:val="2"/>
        </w:numPr>
        <w:spacing w:after="80"/>
      </w:pPr>
      <w:r>
        <w:rPr>
          <w:rFonts w:ascii="Arial" w:cs="Arial" w:eastAsia="Arial" w:hAnsi="Arial"/>
          <w:color w:val="333333"/>
          <w:sz w:val="24"/>
          <w:szCs w:val="24"/>
        </w:rPr>
        <w:t xml:space="preserve">For date fields: validate ISO 8601 format</w:t>
      </w:r>
    </w:p>
    <w:p>
      <w:pPr>
        <w:pStyle w:val="ListParagraph"/>
        <w:numPr>
          <w:ilvl w:val="0"/>
          <w:numId w:val="2"/>
        </w:numPr>
        <w:spacing w:after="80"/>
      </w:pPr>
      <w:r>
        <w:rPr>
          <w:rFonts w:ascii="Arial" w:cs="Arial" w:eastAsia="Arial" w:hAnsi="Arial"/>
          <w:color w:val="333333"/>
          <w:sz w:val="24"/>
          <w:szCs w:val="24"/>
        </w:rPr>
        <w:t xml:space="preserve">Maximum value length: truncate at 500 characters</w:t>
      </w:r>
    </w:p>
    <w:p>
      <w:r>
        <w:br w:type="page"/>
      </w:r>
    </w:p>
    <w:p>
      <w:pPr>
        <w:pStyle w:val="Heading1"/>
        <w:spacing w:before="400" w:after="140"/>
      </w:pPr>
      <w:r>
        <w:rPr>
          <w:rFonts w:ascii="Arial" w:cs="Arial" w:eastAsia="Arial" w:hAnsi="Arial"/>
          <w:b/>
          <w:bCs/>
          <w:color w:val="0066FF"/>
          <w:sz w:val="36"/>
          <w:szCs w:val="36"/>
        </w:rPr>
        <w:t xml:space="preserve">5. Low Severity Findings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05B70" w:sz="12"/>
              <w:bottom w:val="single" w:color="D1D5DB" w:sz="1"/>
              <w:right w:val="none"/>
            </w:tcBorders>
            <w:shd w:fill="EFF6FF" w:val="clear"/>
            <w:tcMar>
              <w:top w:type="dxa" w:w="80"/>
              <w:left w:type="dxa" w:w="120"/>
              <w:bottom w:type="dxa" w:w="80"/>
              <w:right w:type="dxa" w:w="120"/>
            </w:tcMar>
          </w:tcPr>
          <w:p>
            <w:pPr>
              <w:jc w:val="center"/>
            </w:pPr>
            <w:r>
              <w:rPr>
                <w:rFonts w:ascii="Arial" w:cs="Arial" w:eastAsia="Arial" w:hAnsi="Arial"/>
                <w:b/>
                <w:bCs/>
                <w:color w:val="005B70"/>
                <w:sz w:val="20"/>
                <w:szCs w:val="20"/>
              </w:rPr>
              <w:t xml:space="preserve">LOW</w:t>
            </w:r>
          </w:p>
        </w:tc>
        <w:tc>
          <w:tcPr>
            <w:tcW w:type="dxa" w:w="8440"/>
            <w:tcBorders>
              <w:top w:val="single" w:color="D1D5DB" w:sz="1"/>
              <w:left w:val="none"/>
              <w:bottom w:val="single" w:color="D1D5DB" w:sz="1"/>
              <w:right w:val="single" w:color="D1D5DB" w:sz="1"/>
            </w:tcBorders>
            <w:shd w:fill="EFF6FF"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L1 — Overly Broad host_permissions</w:t>
            </w:r>
          </w:p>
          <w:p>
            <w:r>
              <w:rPr>
                <w:rFonts w:ascii="Arial" w:cs="Arial" w:eastAsia="Arial" w:hAnsi="Arial"/>
                <w:color w:val="555555"/>
                <w:sz w:val="22"/>
                <w:szCs w:val="22"/>
              </w:rPr>
              <w:t xml:space="preserve">manifest.json declares host_permissions for https://*.dynamics.com/* which matches ALL subdomains of dynamics.com, not just CRM instances. This includes non-CRM Microsoft services that may share the dynamics.com domain.</w:t>
            </w:r>
          </w:p>
        </w:tc>
      </w:tr>
    </w:tbl>
    <w:p>
      <w:pPr>
        <w:spacing w:after="140"/>
      </w:pPr>
      <w:r>
        <w:rPr>
          <w:rFonts w:ascii="Arial" w:cs="Arial" w:eastAsia="Arial" w:hAnsi="Arial"/>
          <w:color w:val="333333"/>
          <w:sz w:val="24"/>
          <w:szCs w:val="24"/>
        </w:rPr>
        <w:t xml:space="preserve">Recommendation: This is acceptable for a developer tool but could be flagged in Chrome Web Store review. Document the justification.</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05B70" w:sz="12"/>
              <w:bottom w:val="single" w:color="D1D5DB" w:sz="1"/>
              <w:right w:val="none"/>
            </w:tcBorders>
            <w:shd w:fill="EFF6FF" w:val="clear"/>
            <w:tcMar>
              <w:top w:type="dxa" w:w="80"/>
              <w:left w:type="dxa" w:w="120"/>
              <w:bottom w:type="dxa" w:w="80"/>
              <w:right w:type="dxa" w:w="120"/>
            </w:tcMar>
          </w:tcPr>
          <w:p>
            <w:pPr>
              <w:jc w:val="center"/>
            </w:pPr>
            <w:r>
              <w:rPr>
                <w:rFonts w:ascii="Arial" w:cs="Arial" w:eastAsia="Arial" w:hAnsi="Arial"/>
                <w:b/>
                <w:bCs/>
                <w:color w:val="005B70"/>
                <w:sz w:val="20"/>
                <w:szCs w:val="20"/>
              </w:rPr>
              <w:t xml:space="preserve">LOW</w:t>
            </w:r>
          </w:p>
        </w:tc>
        <w:tc>
          <w:tcPr>
            <w:tcW w:type="dxa" w:w="8440"/>
            <w:tcBorders>
              <w:top w:val="single" w:color="D1D5DB" w:sz="1"/>
              <w:left w:val="none"/>
              <w:bottom w:val="single" w:color="D1D5DB" w:sz="1"/>
              <w:right w:val="single" w:color="D1D5DB" w:sz="1"/>
            </w:tcBorders>
            <w:shd w:fill="EFF6FF"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L2 — No Client-Side Rate Limiting</w:t>
            </w:r>
          </w:p>
          <w:p>
            <w:r>
              <w:rPr>
                <w:rFonts w:ascii="Arial" w:cs="Arial" w:eastAsia="Arial" w:hAnsi="Arial"/>
                <w:color w:val="555555"/>
                <w:sz w:val="22"/>
                <w:szCs w:val="22"/>
              </w:rPr>
              <w:t xml:space="preserve">The auto-pagination feature fetches all pages as fast as possible. The $batch loader sends 100 records per request. While D365 has server-side API limits (60,000 requests/hour), aggressive use could exhaust the org's API budget.</w:t>
            </w:r>
          </w:p>
        </w:tc>
      </w:tr>
    </w:tbl>
    <w:p>
      <w:pPr>
        <w:spacing w:after="140"/>
      </w:pPr>
      <w:r>
        <w:rPr>
          <w:rFonts w:ascii="Arial" w:cs="Arial" w:eastAsia="Arial" w:hAnsi="Arial"/>
          <w:b/>
          <w:bCs/>
          <w:color w:val="333333"/>
          <w:sz w:val="24"/>
          <w:szCs w:val="24"/>
        </w:rPr>
        <w:t xml:space="preserve">Recommendation:</w:t>
      </w:r>
    </w:p>
    <w:p>
      <w:pPr>
        <w:pStyle w:val="ListParagraph"/>
        <w:numPr>
          <w:ilvl w:val="0"/>
          <w:numId w:val="2"/>
        </w:numPr>
        <w:spacing w:after="80"/>
      </w:pPr>
      <w:r>
        <w:rPr>
          <w:rFonts w:ascii="Arial" w:cs="Arial" w:eastAsia="Arial" w:hAnsi="Arial"/>
          <w:color w:val="333333"/>
          <w:sz w:val="24"/>
          <w:szCs w:val="24"/>
        </w:rPr>
        <w:t xml:space="preserve">Add optional delay between pagination requests (e.g., 100ms)</w:t>
      </w:r>
    </w:p>
    <w:p>
      <w:pPr>
        <w:pStyle w:val="ListParagraph"/>
        <w:numPr>
          <w:ilvl w:val="0"/>
          <w:numId w:val="2"/>
        </w:numPr>
        <w:spacing w:after="80"/>
      </w:pPr>
      <w:r>
        <w:rPr>
          <w:rFonts w:ascii="Arial" w:cs="Arial" w:eastAsia="Arial" w:hAnsi="Arial"/>
          <w:color w:val="333333"/>
          <w:sz w:val="24"/>
          <w:szCs w:val="24"/>
        </w:rPr>
        <w:t xml:space="preserve">Display the API rate limit counter more prominently (already fetched via getApiLimits)</w:t>
      </w:r>
    </w:p>
    <w:p>
      <w:pPr>
        <w:pStyle w:val="ListParagraph"/>
        <w:numPr>
          <w:ilvl w:val="0"/>
          <w:numId w:val="2"/>
        </w:numPr>
        <w:spacing w:after="80"/>
      </w:pPr>
      <w:r>
        <w:rPr>
          <w:rFonts w:ascii="Arial" w:cs="Arial" w:eastAsia="Arial" w:hAnsi="Arial"/>
          <w:color w:val="333333"/>
          <w:sz w:val="24"/>
          <w:szCs w:val="24"/>
        </w:rPr>
        <w:t xml:space="preserve">Warn when approaching 80% of API budget</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05B70" w:sz="12"/>
              <w:bottom w:val="single" w:color="D1D5DB" w:sz="1"/>
              <w:right w:val="none"/>
            </w:tcBorders>
            <w:shd w:fill="EFF6FF" w:val="clear"/>
            <w:tcMar>
              <w:top w:type="dxa" w:w="80"/>
              <w:left w:type="dxa" w:w="120"/>
              <w:bottom w:type="dxa" w:w="80"/>
              <w:right w:type="dxa" w:w="120"/>
            </w:tcMar>
          </w:tcPr>
          <w:p>
            <w:pPr>
              <w:jc w:val="center"/>
            </w:pPr>
            <w:r>
              <w:rPr>
                <w:rFonts w:ascii="Arial" w:cs="Arial" w:eastAsia="Arial" w:hAnsi="Arial"/>
                <w:b/>
                <w:bCs/>
                <w:color w:val="005B70"/>
                <w:sz w:val="20"/>
                <w:szCs w:val="20"/>
              </w:rPr>
              <w:t xml:space="preserve">LOW</w:t>
            </w:r>
          </w:p>
        </w:tc>
        <w:tc>
          <w:tcPr>
            <w:tcW w:type="dxa" w:w="8440"/>
            <w:tcBorders>
              <w:top w:val="single" w:color="D1D5DB" w:sz="1"/>
              <w:left w:val="none"/>
              <w:bottom w:val="single" w:color="D1D5DB" w:sz="1"/>
              <w:right w:val="single" w:color="D1D5DB" w:sz="1"/>
            </w:tcBorders>
            <w:shd w:fill="EFF6FF"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L3 — Saved Queries Not Encrypted</w:t>
            </w:r>
          </w:p>
          <w:p>
            <w:r>
              <w:rPr>
                <w:rFonts w:ascii="Arial" w:cs="Arial" w:eastAsia="Arial" w:hAnsi="Arial"/>
                <w:color w:val="555555"/>
                <w:sz w:val="22"/>
                <w:szCs w:val="22"/>
              </w:rPr>
              <w:t xml:space="preserve">Saved queries in chrome.storage.local include entity names, field names, and filter values in plain text. While chrome.storage.local is only accessible to the extension, the data persists on disk and could be read by forensic analysis.</w:t>
            </w:r>
          </w:p>
        </w:tc>
      </w:tr>
    </w:tbl>
    <w:p>
      <w:pPr>
        <w:spacing w:after="140"/>
      </w:pPr>
      <w:r>
        <w:rPr>
          <w:rFonts w:ascii="Arial" w:cs="Arial" w:eastAsia="Arial" w:hAnsi="Arial"/>
          <w:color w:val="333333"/>
          <w:sz w:val="24"/>
          <w:szCs w:val="24"/>
        </w:rPr>
        <w:t xml:space="preserve">Recommendation: Acceptable for a developer tool. If handling sensitive filter values (e.g., SSN searches), consider encrypting the storage or adding a clear-all button.</w:t>
      </w:r>
    </w:p>
    <w:p>
      <w:r>
        <w:br w:type="page"/>
      </w:r>
    </w:p>
    <w:p>
      <w:pPr>
        <w:pStyle w:val="Heading1"/>
        <w:spacing w:before="400" w:after="140"/>
      </w:pPr>
      <w:r>
        <w:rPr>
          <w:rFonts w:ascii="Arial" w:cs="Arial" w:eastAsia="Arial" w:hAnsi="Arial"/>
          <w:b/>
          <w:bCs/>
          <w:color w:val="0066FF"/>
          <w:sz w:val="36"/>
          <w:szCs w:val="36"/>
        </w:rPr>
        <w:t xml:space="preserve">6. Informational / Best Practices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I1 — No eval(), innerHTML, or dangerouslySetInnerHTML</w:t>
            </w:r>
          </w:p>
          <w:p>
            <w:r>
              <w:rPr>
                <w:rFonts w:ascii="Arial" w:cs="Arial" w:eastAsia="Arial" w:hAnsi="Arial"/>
                <w:color w:val="555555"/>
                <w:sz w:val="22"/>
                <w:szCs w:val="22"/>
              </w:rPr>
              <w:t xml:space="preserve">Full codebase grep confirms zero usage of eval(), innerHTML, document.write, Function constructor, or dangerouslySetInnerHTML. All rendering uses React's JSX which auto-escapes user content.</w:t>
            </w:r>
          </w:p>
        </w:tc>
      </w:tr>
    </w:tbl>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I2 — No External Dependencies Beyond React + SheetJS</w:t>
            </w:r>
          </w:p>
          <w:p>
            <w:r>
              <w:rPr>
                <w:rFonts w:ascii="Arial" w:cs="Arial" w:eastAsia="Arial" w:hAnsi="Arial"/>
                <w:color w:val="555555"/>
                <w:sz w:val="22"/>
                <w:szCs w:val="22"/>
              </w:rPr>
              <w:t xml:space="preserve">The extension has zero runtime network dependencies. No CDN scripts, no external fonts, no analytics. React and SheetJS are bundled at build time by Vite.</w:t>
            </w:r>
          </w:p>
        </w:tc>
      </w:tr>
    </w:tbl>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0"/>
        <w:gridCol w:w="8440"/>
      </w:tblGrid>
      <w:tr>
        <w:tc>
          <w:tcPr>
            <w:tcW w:type="dxa" w:w="1200"/>
            <w:tcBorders>
              <w:top w:val="single" w:color="D1D5DB" w:sz="1"/>
              <w:left w:val="single" w:color="059669" w:sz="12"/>
              <w:bottom w:val="single" w:color="D1D5DB" w:sz="1"/>
              <w:right w:val="none"/>
            </w:tcBorders>
            <w:shd w:fill="F0FDF4" w:val="clear"/>
            <w:tcMar>
              <w:top w:type="dxa" w:w="80"/>
              <w:left w:type="dxa" w:w="120"/>
              <w:bottom w:type="dxa" w:w="80"/>
              <w:right w:type="dxa" w:w="120"/>
            </w:tcMar>
          </w:tcPr>
          <w:p>
            <w:pPr>
              <w:jc w:val="center"/>
            </w:pPr>
            <w:r>
              <w:rPr>
                <w:rFonts w:ascii="Arial" w:cs="Arial" w:eastAsia="Arial" w:hAnsi="Arial"/>
                <w:b/>
                <w:bCs/>
                <w:color w:val="059669"/>
                <w:sz w:val="20"/>
                <w:szCs w:val="20"/>
              </w:rPr>
              <w:t xml:space="preserve">PASS</w:t>
            </w:r>
          </w:p>
        </w:tc>
        <w:tc>
          <w:tcPr>
            <w:tcW w:type="dxa" w:w="8440"/>
            <w:tcBorders>
              <w:top w:val="single" w:color="D1D5DB" w:sz="1"/>
              <w:left w:val="none"/>
              <w:bottom w:val="single" w:color="D1D5DB" w:sz="1"/>
              <w:right w:val="single" w:color="D1D5DB" w:sz="1"/>
            </w:tcBorders>
            <w:shd w:fill="F0FDF4" w:val="clear"/>
            <w:tcMar>
              <w:top w:type="dxa" w:w="100"/>
              <w:left w:type="dxa" w:w="140"/>
              <w:bottom w:type="dxa" w:w="100"/>
              <w:right w:type="dxa" w:w="140"/>
            </w:tcMar>
          </w:tcPr>
          <w:p>
            <w:pPr>
              <w:spacing w:after="50"/>
            </w:pPr>
            <w:r>
              <w:rPr>
                <w:rFonts w:ascii="Arial" w:cs="Arial" w:eastAsia="Arial" w:hAnsi="Arial"/>
                <w:b/>
                <w:bCs/>
                <w:color w:val="333333"/>
                <w:sz w:val="24"/>
                <w:szCs w:val="24"/>
              </w:rPr>
              <w:t xml:space="preserve">I3 — Manifest V3 with Service Worker</w:t>
            </w:r>
          </w:p>
          <w:p>
            <w:r>
              <w:rPr>
                <w:rFonts w:ascii="Arial" w:cs="Arial" w:eastAsia="Arial" w:hAnsi="Arial"/>
                <w:color w:val="555555"/>
                <w:sz w:val="22"/>
                <w:szCs w:val="22"/>
              </w:rPr>
              <w:t xml:space="preserve">The extension uses Chrome Manifest V3 (not V2), which provides stronger security: service worker instead of background page, no remote code execution, declarativeContent instead of broad permissions.</w:t>
            </w:r>
          </w:p>
        </w:tc>
      </w:tr>
    </w:tbl>
    <w:p>
      <w:r>
        <w:br w:type="page"/>
      </w:r>
    </w:p>
    <w:p>
      <w:pPr>
        <w:pStyle w:val="Heading1"/>
        <w:spacing w:before="400" w:after="140"/>
      </w:pPr>
      <w:r>
        <w:rPr>
          <w:rFonts w:ascii="Arial" w:cs="Arial" w:eastAsia="Arial" w:hAnsi="Arial"/>
          <w:b/>
          <w:bCs/>
          <w:color w:val="0066FF"/>
          <w:sz w:val="36"/>
          <w:szCs w:val="36"/>
        </w:rPr>
        <w:t xml:space="preserve">7. Chrome Permissions Analysis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640"/>
        <w:gridCol w:w="2600"/>
      </w:tblGrid>
      <w:tr>
        <w:tc>
          <w:tcPr>
            <w:tcW w:type="dxa" w:w="24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Permission</w:t>
            </w:r>
          </w:p>
        </w:tc>
        <w:tc>
          <w:tcPr>
            <w:tcW w:type="dxa" w:w="46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Justification</w:t>
            </w:r>
          </w:p>
        </w:tc>
        <w:tc>
          <w:tcPr>
            <w:tcW w:type="dxa" w:w="26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Risk Level</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activeTab</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Detect current D365 tab when user clicks ⚡</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 — user-initiated only</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scripting</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Inject content.js into D365 tab for API proxy</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Medium — allows code execution on D365 pages</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storage</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Persist saved queries in chrome.storage.local</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 — extension-only access</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declarativeContent</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Show/hide extension icon based on URL</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Low — declarative, not programmatic</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host_permissions: *.dynamics.com</w:t>
            </w:r>
          </w:p>
        </w:tc>
        <w:tc>
          <w:tcPr>
            <w:tcW w:type="dxa" w:w="46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Execute content script and make API calls on D365 pages</w:t>
            </w:r>
          </w:p>
        </w:tc>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Medium — broad but necessary</w:t>
            </w:r>
          </w:p>
        </w:tc>
      </w:tr>
    </w:tbl>
    <w:p>
      <w:pPr>
        <w:spacing w:after="140"/>
      </w:pPr>
      <w:r>
        <w:rPr>
          <w:rFonts w:ascii="Arial" w:cs="Arial" w:eastAsia="Arial" w:hAnsi="Arial"/>
          <w:color w:val="333333"/>
          <w:sz w:val="24"/>
          <w:szCs w:val="24"/>
        </w:rPr>
        <w:t xml:space="preserve">Assessment: Permissions are appropriate and minimal for the extension's functionality. No unnecessary permissions like 'tabs' (full browsing history), 'webRequest' (intercept network), or '&lt;all_urls&gt;'.</w:t>
      </w:r>
    </w:p>
    <w:p>
      <w:r>
        <w:br w:type="page"/>
      </w:r>
    </w:p>
    <w:p>
      <w:pPr>
        <w:pStyle w:val="Heading1"/>
        <w:spacing w:before="400" w:after="140"/>
      </w:pPr>
      <w:r>
        <w:rPr>
          <w:rFonts w:ascii="Arial" w:cs="Arial" w:eastAsia="Arial" w:hAnsi="Arial"/>
          <w:b/>
          <w:bCs/>
          <w:color w:val="0066FF"/>
          <w:sz w:val="36"/>
          <w:szCs w:val="36"/>
        </w:rPr>
        <w:t xml:space="preserve">8. OData/Dataverse API Security</w:t>
      </w:r>
    </w:p>
    <w:p>
      <w:pPr>
        <w:pStyle w:val="Heading2"/>
        <w:spacing w:before="240" w:after="140"/>
      </w:pPr>
      <w:r>
        <w:rPr>
          <w:rFonts w:ascii="Arial" w:cs="Arial" w:eastAsia="Arial" w:hAnsi="Arial"/>
          <w:b/>
          <w:bCs/>
          <w:color w:val="0066FF"/>
          <w:sz w:val="30"/>
          <w:szCs w:val="30"/>
        </w:rPr>
        <w:t xml:space="preserve">8.1 Authentication Model</w:t>
      </w:r>
    </w:p>
    <w:p>
      <w:pPr>
        <w:pStyle w:val="ListParagraph"/>
        <w:numPr>
          <w:ilvl w:val="0"/>
          <w:numId w:val="2"/>
        </w:numPr>
        <w:spacing w:after="80"/>
      </w:pPr>
      <w:r>
        <w:rPr>
          <w:rFonts w:ascii="Arial" w:cs="Arial" w:eastAsia="Arial" w:hAnsi="Arial"/>
          <w:color w:val="333333"/>
          <w:sz w:val="24"/>
          <w:szCs w:val="24"/>
        </w:rPr>
        <w:t xml:space="preserve">The extension relies entirely on Azure AD session cookies. No tokens, secrets, or credentials are stored.</w:t>
      </w:r>
    </w:p>
    <w:p>
      <w:pPr>
        <w:pStyle w:val="ListParagraph"/>
        <w:numPr>
          <w:ilvl w:val="0"/>
          <w:numId w:val="2"/>
        </w:numPr>
        <w:spacing w:after="80"/>
      </w:pPr>
      <w:r>
        <w:rPr>
          <w:rFonts w:ascii="Arial" w:cs="Arial" w:eastAsia="Arial" w:hAnsi="Arial"/>
          <w:color w:val="333333"/>
          <w:sz w:val="24"/>
          <w:szCs w:val="24"/>
        </w:rPr>
        <w:t xml:space="preserve">Session expiry (401/403) is detected and the user is prompted to re-authenticate via the D365 tab.</w:t>
      </w:r>
    </w:p>
    <w:p>
      <w:pPr>
        <w:pStyle w:val="ListParagraph"/>
        <w:numPr>
          <w:ilvl w:val="0"/>
          <w:numId w:val="2"/>
        </w:numPr>
        <w:spacing w:after="80"/>
      </w:pPr>
      <w:r>
        <w:rPr>
          <w:rFonts w:ascii="Arial" w:cs="Arial" w:eastAsia="Arial" w:hAnsi="Arial"/>
          <w:color w:val="333333"/>
          <w:sz w:val="24"/>
          <w:szCs w:val="24"/>
        </w:rPr>
        <w:t xml:space="preserve">The content script runs in the D365 page context with credentials: 'same-origin'.</w:t>
      </w:r>
    </w:p>
    <w:p>
      <w:pPr>
        <w:pStyle w:val="Heading2"/>
        <w:spacing w:before="240" w:after="140"/>
      </w:pPr>
      <w:r>
        <w:rPr>
          <w:rFonts w:ascii="Arial" w:cs="Arial" w:eastAsia="Arial" w:hAnsi="Arial"/>
          <w:b/>
          <w:bCs/>
          <w:color w:val="0066FF"/>
          <w:sz w:val="30"/>
          <w:szCs w:val="30"/>
        </w:rPr>
        <w:t xml:space="preserve">8.2 Authorization Model</w:t>
      </w:r>
    </w:p>
    <w:p>
      <w:pPr>
        <w:pStyle w:val="ListParagraph"/>
        <w:numPr>
          <w:ilvl w:val="0"/>
          <w:numId w:val="2"/>
        </w:numPr>
        <w:spacing w:after="80"/>
      </w:pPr>
      <w:r>
        <w:rPr>
          <w:rFonts w:ascii="Arial" w:cs="Arial" w:eastAsia="Arial" w:hAnsi="Arial"/>
          <w:color w:val="333333"/>
          <w:sz w:val="24"/>
          <w:szCs w:val="24"/>
        </w:rPr>
        <w:t xml:space="preserve">All API calls inherit the current user's D365 security roles and privileges.</w:t>
      </w:r>
    </w:p>
    <w:p>
      <w:pPr>
        <w:pStyle w:val="ListParagraph"/>
        <w:numPr>
          <w:ilvl w:val="0"/>
          <w:numId w:val="2"/>
        </w:numPr>
        <w:spacing w:after="80"/>
      </w:pPr>
      <w:r>
        <w:rPr>
          <w:rFonts w:ascii="Arial" w:cs="Arial" w:eastAsia="Arial" w:hAnsi="Arial"/>
          <w:color w:val="333333"/>
          <w:sz w:val="24"/>
          <w:szCs w:val="24"/>
        </w:rPr>
        <w:t xml:space="preserve">The extension cannot access data the user doesn't have permission to see.</w:t>
      </w:r>
    </w:p>
    <w:p>
      <w:pPr>
        <w:pStyle w:val="ListParagraph"/>
        <w:numPr>
          <w:ilvl w:val="0"/>
          <w:numId w:val="2"/>
        </w:numPr>
        <w:spacing w:after="80"/>
      </w:pPr>
      <w:r>
        <w:rPr>
          <w:rFonts w:ascii="Arial" w:cs="Arial" w:eastAsia="Arial" w:hAnsi="Arial"/>
          <w:color w:val="333333"/>
          <w:sz w:val="24"/>
          <w:szCs w:val="24"/>
        </w:rPr>
        <w:t xml:space="preserve">D365 server-side security rejects unauthorized operations (403 Forbidden).</w:t>
      </w:r>
    </w:p>
    <w:p>
      <w:pPr>
        <w:pStyle w:val="ListParagraph"/>
        <w:numPr>
          <w:ilvl w:val="0"/>
          <w:numId w:val="2"/>
        </w:numPr>
        <w:spacing w:after="80"/>
      </w:pPr>
      <w:r>
        <w:rPr>
          <w:rFonts w:ascii="Arial" w:cs="Arial" w:eastAsia="Arial" w:hAnsi="Arial"/>
          <w:color w:val="333333"/>
          <w:sz w:val="24"/>
          <w:szCs w:val="24"/>
        </w:rPr>
        <w:t xml:space="preserve">The extension does not escalate privileges in any way.</w:t>
      </w:r>
    </w:p>
    <w:p>
      <w:pPr>
        <w:pStyle w:val="Heading2"/>
        <w:spacing w:before="240" w:after="140"/>
      </w:pPr>
      <w:r>
        <w:rPr>
          <w:rFonts w:ascii="Arial" w:cs="Arial" w:eastAsia="Arial" w:hAnsi="Arial"/>
          <w:b/>
          <w:bCs/>
          <w:color w:val="0066FF"/>
          <w:sz w:val="30"/>
          <w:szCs w:val="30"/>
        </w:rPr>
        <w:t xml:space="preserve">8.3 Input Sanitization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40"/>
      </w:tblGrid>
      <w:tr>
        <w:tc>
          <w:tcPr>
            <w:tcW w:type="dxa" w:w="26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Input</w:t>
            </w:r>
          </w:p>
        </w:tc>
        <w:tc>
          <w:tcPr>
            <w:tcW w:type="dxa" w:w="320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Sanitization Applied</w:t>
            </w:r>
          </w:p>
        </w:tc>
        <w:tc>
          <w:tcPr>
            <w:tcW w:type="dxa" w:w="3840"/>
            <w:tcBorders>
              <w:top w:val="single" w:color="D1D5DB" w:sz="1"/>
              <w:left w:val="single" w:color="D1D5DB" w:sz="1"/>
              <w:bottom w:val="single" w:color="D1D5DB" w:sz="1"/>
              <w:right w:val="single" w:color="D1D5DB" w:sz="1"/>
            </w:tcBorders>
            <w:shd w:fill="0066FF" w:val="clear"/>
            <w:tcMar>
              <w:top w:type="dxa" w:w="80"/>
              <w:left w:type="dxa" w:w="120"/>
              <w:bottom w:type="dxa" w:w="80"/>
              <w:right w:type="dxa" w:w="120"/>
            </w:tcMar>
          </w:tcPr>
          <w:p>
            <w:r>
              <w:rPr>
                <w:rFonts w:ascii="Arial" w:cs="Arial" w:eastAsia="Arial" w:hAnsi="Arial"/>
                <w:b/>
                <w:bCs/>
                <w:color w:val="FFFFFF"/>
                <w:sz w:val="22"/>
                <w:szCs w:val="22"/>
              </w:rPr>
              <w:t xml:space="preserve">Gap</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WHERE filter values (String)</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Single quotes escaped: ' → ''</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 length limit, no pattern validation</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WHERE filter values (Integer)</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 quotes added (correct for OData)</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Value not validated as integer</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searchUsers (Login History)</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Single quotes escaped</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Adequate</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params.logicalName</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None</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Should validate ^[a-z_][a-z0-9_]*$</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params.entitySet</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None</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Should validate ^[a-z_][a-z0-9_]*$</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params.keyValue (Upsert)</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Wrapped in single quotes</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Should validate format</w:t>
            </w:r>
          </w:p>
        </w:tc>
      </w:tr>
      <w:tr>
        <w:tc>
          <w:tcPr>
            <w:tcW w:type="dxa" w:w="2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$batch body</w:t>
            </w:r>
          </w:p>
        </w:tc>
        <w:tc>
          <w:tcPr>
            <w:tcW w:type="dxa" w:w="3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JSON.stringify() for record data</w:t>
            </w:r>
          </w:p>
        </w:tc>
        <w:tc>
          <w:tcPr>
            <w:tcW w:type="dxa" w:w="384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33333"/>
                <w:sz w:val="22"/>
                <w:szCs w:val="22"/>
              </w:rPr>
              <w:t xml:space="preserve">Adequate — no raw interpolation</w:t>
            </w:r>
          </w:p>
        </w:tc>
      </w:tr>
    </w:tbl>
    <w:p>
      <w:r>
        <w:br w:type="page"/>
      </w:r>
    </w:p>
    <w:p>
      <w:pPr>
        <w:pStyle w:val="Heading1"/>
        <w:spacing w:before="400" w:after="140"/>
      </w:pPr>
      <w:r>
        <w:rPr>
          <w:rFonts w:ascii="Arial" w:cs="Arial" w:eastAsia="Arial" w:hAnsi="Arial"/>
          <w:b/>
          <w:bCs/>
          <w:color w:val="0066FF"/>
          <w:sz w:val="36"/>
          <w:szCs w:val="36"/>
        </w:rPr>
        <w:t xml:space="preserve">9. Recommendations Summary</w:t>
      </w:r>
    </w:p>
    <w:p>
      <w:pPr>
        <w:pStyle w:val="Heading2"/>
        <w:spacing w:before="240" w:after="140"/>
      </w:pPr>
      <w:r>
        <w:rPr>
          <w:rFonts w:ascii="Arial" w:cs="Arial" w:eastAsia="Arial" w:hAnsi="Arial"/>
          <w:b/>
          <w:bCs/>
          <w:color w:val="0066FF"/>
          <w:sz w:val="30"/>
          <w:szCs w:val="30"/>
        </w:rPr>
        <w:t xml:space="preserve">9.1 Must Fix (Before Public Distribution)</w:t>
      </w:r>
    </w:p>
    <w:p>
      <w:pPr>
        <w:pStyle w:val="ListParagraph"/>
        <w:numPr>
          <w:ilvl w:val="0"/>
          <w:numId w:val="2"/>
        </w:numPr>
        <w:spacing w:after="80"/>
      </w:pPr>
      <w:r>
        <w:rPr>
          <w:rFonts w:ascii="Arial" w:cs="Arial" w:eastAsia="Arial" w:hAnsi="Arial"/>
          <w:color w:val="333333"/>
          <w:sz w:val="24"/>
          <w:szCs w:val="24"/>
        </w:rPr>
        <w:t xml:space="preserve">H1: Add regex validation for params.logicalName, params.entitySet, params.keyField (^[a-z_][a-z0-9_]*$)</w:t>
      </w:r>
    </w:p>
    <w:p>
      <w:pPr>
        <w:pStyle w:val="ListParagraph"/>
        <w:numPr>
          <w:ilvl w:val="0"/>
          <w:numId w:val="2"/>
        </w:numPr>
        <w:spacing w:after="80"/>
      </w:pPr>
      <w:r>
        <w:rPr>
          <w:rFonts w:ascii="Arial" w:cs="Arial" w:eastAsia="Arial" w:hAnsi="Arial"/>
          <w:color w:val="333333"/>
          <w:sz w:val="24"/>
          <w:szCs w:val="24"/>
        </w:rPr>
        <w:t xml:space="preserve">M1: Remove or gate console.log statements behind DEV flag</w:t>
      </w:r>
    </w:p>
    <w:p>
      <w:pPr>
        <w:pStyle w:val="ListParagraph"/>
        <w:numPr>
          <w:ilvl w:val="0"/>
          <w:numId w:val="2"/>
        </w:numPr>
        <w:spacing w:after="80"/>
      </w:pPr>
      <w:r>
        <w:rPr>
          <w:rFonts w:ascii="Arial" w:cs="Arial" w:eastAsia="Arial" w:hAnsi="Arial"/>
          <w:color w:val="333333"/>
          <w:sz w:val="24"/>
          <w:szCs w:val="24"/>
        </w:rPr>
        <w:t xml:space="preserve">M2: Remove or restrict web_accessible_resources</w:t>
      </w:r>
    </w:p>
    <w:p>
      <w:pPr>
        <w:pStyle w:val="Heading2"/>
        <w:spacing w:before="240" w:after="140"/>
      </w:pPr>
      <w:r>
        <w:rPr>
          <w:rFonts w:ascii="Arial" w:cs="Arial" w:eastAsia="Arial" w:hAnsi="Arial"/>
          <w:b/>
          <w:bCs/>
          <w:color w:val="0066FF"/>
          <w:sz w:val="30"/>
          <w:szCs w:val="30"/>
        </w:rPr>
        <w:t xml:space="preserve">9.2 Should Fix (Recommended)</w:t>
      </w:r>
    </w:p>
    <w:p>
      <w:pPr>
        <w:pStyle w:val="ListParagraph"/>
        <w:numPr>
          <w:ilvl w:val="0"/>
          <w:numId w:val="2"/>
        </w:numPr>
        <w:spacing w:after="80"/>
      </w:pPr>
      <w:r>
        <w:rPr>
          <w:rFonts w:ascii="Arial" w:cs="Arial" w:eastAsia="Arial" w:hAnsi="Arial"/>
          <w:color w:val="333333"/>
          <w:sz w:val="24"/>
          <w:szCs w:val="24"/>
        </w:rPr>
        <w:t xml:space="preserve">H2: Pre-check delete permissions before bulk delete</w:t>
      </w:r>
    </w:p>
    <w:p>
      <w:pPr>
        <w:pStyle w:val="ListParagraph"/>
        <w:numPr>
          <w:ilvl w:val="0"/>
          <w:numId w:val="2"/>
        </w:numPr>
        <w:spacing w:after="80"/>
      </w:pPr>
      <w:r>
        <w:rPr>
          <w:rFonts w:ascii="Arial" w:cs="Arial" w:eastAsia="Arial" w:hAnsi="Arial"/>
          <w:color w:val="333333"/>
          <w:sz w:val="24"/>
          <w:szCs w:val="24"/>
        </w:rPr>
        <w:t xml:space="preserve">M3: Validate filter values by type (integer, GUID, date format)</w:t>
      </w:r>
    </w:p>
    <w:p>
      <w:pPr>
        <w:pStyle w:val="ListParagraph"/>
        <w:numPr>
          <w:ilvl w:val="0"/>
          <w:numId w:val="2"/>
        </w:numPr>
        <w:spacing w:after="80"/>
      </w:pPr>
      <w:r>
        <w:rPr>
          <w:rFonts w:ascii="Arial" w:cs="Arial" w:eastAsia="Arial" w:hAnsi="Arial"/>
          <w:color w:val="333333"/>
          <w:sz w:val="24"/>
          <w:szCs w:val="24"/>
        </w:rPr>
        <w:t xml:space="preserve">L2: Add client-side rate limit awareness (warn at 80% API budget)</w:t>
      </w:r>
    </w:p>
    <w:p>
      <w:pPr>
        <w:pStyle w:val="Heading2"/>
        <w:spacing w:before="240" w:after="140"/>
      </w:pPr>
      <w:r>
        <w:rPr>
          <w:rFonts w:ascii="Arial" w:cs="Arial" w:eastAsia="Arial" w:hAnsi="Arial"/>
          <w:b/>
          <w:bCs/>
          <w:color w:val="0066FF"/>
          <w:sz w:val="30"/>
          <w:szCs w:val="30"/>
        </w:rPr>
        <w:t xml:space="preserve">9.3 Nice to Have</w:t>
      </w:r>
    </w:p>
    <w:p>
      <w:pPr>
        <w:pStyle w:val="ListParagraph"/>
        <w:numPr>
          <w:ilvl w:val="0"/>
          <w:numId w:val="2"/>
        </w:numPr>
        <w:spacing w:after="80"/>
      </w:pPr>
      <w:r>
        <w:rPr>
          <w:rFonts w:ascii="Arial" w:cs="Arial" w:eastAsia="Arial" w:hAnsi="Arial"/>
          <w:color w:val="333333"/>
          <w:sz w:val="24"/>
          <w:szCs w:val="24"/>
        </w:rPr>
        <w:t xml:space="preserve">Add Content Security Policy header to panel.html</w:t>
      </w:r>
    </w:p>
    <w:p>
      <w:pPr>
        <w:pStyle w:val="ListParagraph"/>
        <w:numPr>
          <w:ilvl w:val="0"/>
          <w:numId w:val="2"/>
        </w:numPr>
        <w:spacing w:after="80"/>
      </w:pPr>
      <w:r>
        <w:rPr>
          <w:rFonts w:ascii="Arial" w:cs="Arial" w:eastAsia="Arial" w:hAnsi="Arial"/>
          <w:color w:val="333333"/>
          <w:sz w:val="24"/>
          <w:szCs w:val="24"/>
        </w:rPr>
        <w:t xml:space="preserve">Add a 'Clear all saved queries' button</w:t>
      </w:r>
    </w:p>
    <w:p>
      <w:pPr>
        <w:pStyle w:val="ListParagraph"/>
        <w:numPr>
          <w:ilvl w:val="0"/>
          <w:numId w:val="2"/>
        </w:numPr>
        <w:spacing w:after="80"/>
      </w:pPr>
      <w:r>
        <w:rPr>
          <w:rFonts w:ascii="Arial" w:cs="Arial" w:eastAsia="Arial" w:hAnsi="Arial"/>
          <w:color w:val="333333"/>
          <w:sz w:val="24"/>
          <w:szCs w:val="24"/>
        </w:rPr>
        <w:t xml:space="preserve">Consider adding an audit log of actions performed via the extension</w:t>
      </w:r>
    </w:p>
    <w:p>
      <w:pPr>
        <w:pStyle w:val="ListParagraph"/>
        <w:numPr>
          <w:ilvl w:val="0"/>
          <w:numId w:val="2"/>
        </w:numPr>
        <w:spacing w:after="80"/>
      </w:pPr>
      <w:r>
        <w:rPr>
          <w:rFonts w:ascii="Arial" w:cs="Arial" w:eastAsia="Arial" w:hAnsi="Arial"/>
          <w:color w:val="333333"/>
          <w:sz w:val="24"/>
          <w:szCs w:val="24"/>
        </w:rPr>
        <w:t xml:space="preserve">Add GUID format validation for bulk delete IDs</w:t>
      </w:r>
    </w:p>
    <w:p>
      <w:r>
        <w:br w:type="page"/>
      </w:r>
    </w:p>
    <w:p>
      <w:pPr>
        <w:pStyle w:val="Heading1"/>
        <w:spacing w:before="400" w:after="140"/>
      </w:pPr>
      <w:r>
        <w:rPr>
          <w:rFonts w:ascii="Arial" w:cs="Arial" w:eastAsia="Arial" w:hAnsi="Arial"/>
          <w:b/>
          <w:bCs/>
          <w:color w:val="0066FF"/>
          <w:sz w:val="36"/>
          <w:szCs w:val="36"/>
        </w:rPr>
        <w:t xml:space="preserve">10. Conclusion</w:t>
      </w:r>
    </w:p>
    <w:p>
      <w:pPr>
        <w:spacing w:after="140"/>
      </w:pPr>
      <w:r>
        <w:rPr>
          <w:rFonts w:ascii="Arial" w:cs="Arial" w:eastAsia="Arial" w:hAnsi="Arial"/>
          <w:color w:val="333333"/>
          <w:sz w:val="24"/>
          <w:szCs w:val="24"/>
        </w:rPr>
        <w:t xml:space="preserve">Colvio demonstrates a solid security architecture for a Chrome extension. The key design decisions are sound: no external servers, no credential storage, same-origin authentication, Chrome Manifest V3 with minimal permissions, and React JSX for XSS prevention.</w:t>
      </w:r>
    </w:p>
    <w:p>
      <w:pPr>
        <w:spacing w:after="140"/>
      </w:pPr>
      <w:r>
        <w:rPr>
          <w:rFonts w:ascii="Arial" w:cs="Arial" w:eastAsia="Arial" w:hAnsi="Arial"/>
          <w:color w:val="333333"/>
          <w:sz w:val="24"/>
          <w:szCs w:val="24"/>
        </w:rPr>
        <w:t xml:space="preserve">The two high-severity findings (OData injection and bulk delete RBAC) are mitigated in practice by the extension's architecture (panel is a chrome-extension:// page, not a web page) and D365's server-side security. However, they should be addressed for defense-in-depth before public distribution on the Chrome Web Store.</w:t>
      </w:r>
    </w:p>
    <w:p>
      <w:pPr>
        <w:spacing w:after="140"/>
      </w:pPr>
      <w:r>
        <w:rPr>
          <w:rFonts w:ascii="Arial" w:cs="Arial" w:eastAsia="Arial" w:hAnsi="Arial"/>
          <w:color w:val="333333"/>
          <w:sz w:val="24"/>
          <w:szCs w:val="24"/>
        </w:rPr>
        <w:t xml:space="preserve">The extension is appropriate for internal team use in its current state. For public distribution, the 'Must Fix' recommendations should be implemented.</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Colvio / zmissoum — Confidential — 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B7280"/>
        <w:sz w:val="18"/>
        <w:szCs w:val="18"/>
      </w:rPr>
      <w:t xml:space="preserve">Colvio — Security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0066FF"/>
      <w:sz w:val="36"/>
      <w:szCs w:val="36"/>
    </w:rPr>
  </w:style>
  <w:style w:type="paragraph" w:styleId="Heading2">
    <w:name w:val="Heading 2"/>
    <w:basedOn w:val="Normal"/>
    <w:next w:val="Normal"/>
    <w:qFormat/>
    <w:pPr>
      <w:spacing w:before="280" w:after="180"/>
      <w:outlineLvl w:val="1"/>
    </w:pPr>
    <w:rPr>
      <w:rFonts w:ascii="Arial" w:cs="Arial" w:eastAsia="Arial" w:hAnsi="Arial"/>
      <w:b/>
      <w:bCs/>
      <w:color w:val="0066FF"/>
      <w:sz w:val="30"/>
      <w:szCs w:val="30"/>
    </w:rPr>
  </w:style>
  <w:style w:type="paragraph" w:styleId="Heading3">
    <w:name w:val="Heading 3"/>
    <w:basedOn w:val="Normal"/>
    <w:next w:val="Normal"/>
    <w:qFormat/>
    <w:pPr>
      <w:spacing w:before="220" w:after="140"/>
      <w:outlineLvl w:val="2"/>
    </w:pPr>
    <w:rPr>
      <w:rFonts w:ascii="Arial" w:cs="Arial" w:eastAsia="Arial" w:hAnsi="Arial"/>
      <w:b/>
      <w:bCs/>
      <w:color w:val="005B7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2026-03-23T19:27:25.283Z</dcterms:created>
  <dcterms:modified xsi:type="dcterms:W3CDTF">2026-03-23T19:27:25.283Z</dcterms:modified>
</cp:coreProperties>
</file>

<file path=docProps/custom.xml><?xml version="1.0" encoding="utf-8"?>
<Properties xmlns="http://schemas.openxmlformats.org/officeDocument/2006/custom-properties" xmlns:vt="http://schemas.openxmlformats.org/officeDocument/2006/docPropsVTypes"/>
</file>