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5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0066FF"/>
          <w:sz w:val="56"/>
          <w:szCs w:val="56"/>
        </w:rPr>
        <w:t xml:space="preserve">COLVIO</w:t>
      </w:r>
    </w:p>
    <w:p>
      <w:pPr>
        <w:spacing w:after="100"/>
        <w:jc w:val="center"/>
      </w:pPr>
      <w:r>
        <w:rPr>
          <w:rFonts w:ascii="Arial" w:cs="Arial" w:eastAsia="Arial" w:hAnsi="Arial"/>
          <w:color w:val="005B70"/>
          <w:sz w:val="28"/>
          <w:szCs w:val="28"/>
        </w:rPr>
        <w:t xml:space="preserve">for Dataverse</w:t>
      </w:r>
    </w:p>
    <w:p>
      <w:pPr>
        <w:pBdr>
          <w:bottom w:val="single" w:color="0066FF" w:sz="6" w:space="1"/>
        </w:pBdr>
        <w:spacing w:after="500"/>
        <w:jc w:val="center"/>
      </w:pPr>
      <w:r>
        <w:rPr>
          <w:sz w:val="10"/>
          <w:szCs w:val="10"/>
        </w:rPr>
        <w:t xml:space="preserve"> 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333333"/>
          <w:sz w:val="40"/>
          <w:szCs w:val="40"/>
        </w:rPr>
        <w:t xml:space="preserve">Training Guide</w:t>
      </w:r>
    </w:p>
    <w:p>
      <w:pPr>
        <w:spacing w:after="80"/>
        <w:jc w:val="center"/>
      </w:pPr>
      <w:r>
        <w:rPr>
          <w:rFonts w:ascii="Arial" w:cs="Arial" w:eastAsia="Arial" w:hAnsi="Arial"/>
          <w:color w:val="6B7280"/>
          <w:sz w:val="24"/>
          <w:szCs w:val="24"/>
        </w:rPr>
        <w:t xml:space="preserve">Complete walkthrough for all features</w:t>
      </w:r>
    </w:p>
    <w:p>
      <w:pPr>
        <w:spacing w:after="400"/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Version 1.5 — March 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Property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Value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Lines of code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3,758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Stack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React 18 + Vite + Chrome Manifest V3 + SheetJS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API actions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React components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Runtime deps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SheetJS (xlsx export)</w:t>
            </w:r>
          </w:p>
        </w:tc>
      </w:tr>
    </w:tbl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1. Installation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Download or clone the repository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Run: npm install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Run: npm run build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Open chrome://extensions → Developer Mode → Load unpacked → select dist/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Click the ⚡ icon on any D365 page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40"/>
      </w:tblGrid>
      <w:tr>
        <w:tc>
          <w:tcPr>
            <w:tcW w:type="dxa" w:w="600"/>
            <w:tcBorders>
              <w:top w:val="single" w:color="D1D5DB" w:sz="1"/>
              <w:left w:val="single" w:color="005B70" w:sz="12"/>
              <w:bottom w:val="single" w:color="D1D5DB" w:sz="1"/>
              <w:right w:val="none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sz w:val="26"/>
                <w:szCs w:val="26"/>
              </w:rPr>
              <w:t xml:space="preserve">💡</w:t>
            </w:r>
          </w:p>
        </w:tc>
        <w:tc>
          <w:tcPr>
            <w:tcW w:type="dxa" w:w="9040"/>
            <w:tcBorders>
              <w:top w:val="single" w:color="D1D5DB" w:sz="1"/>
              <w:left w:val="none"/>
              <w:bottom w:val="single" w:color="D1D5DB" w:sz="1"/>
              <w:right w:val="single" w:color="D1D5DB" w:sz="1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333333"/>
                <w:sz w:val="24"/>
                <w:szCs w:val="24"/>
              </w:rPr>
              <w:t xml:space="preserve">Tip</w:t>
            </w:r>
          </w:p>
          <w:p>
            <w:r>
              <w:rPr>
                <w:rFonts w:ascii="Arial" w:cs="Arial" w:eastAsia="Arial" w:hAnsi="Arial"/>
                <w:color w:val="555555"/>
                <w:sz w:val="22"/>
                <w:szCs w:val="22"/>
              </w:rPr>
              <w:t xml:space="preserve">Pin the ⚡ icon in Chrome toolbar for quick access.</w:t>
            </w:r>
          </w:p>
        </w:tc>
      </w:tr>
    </w:tbl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40"/>
      </w:tblGrid>
      <w:tr>
        <w:tc>
          <w:tcPr>
            <w:tcW w:type="dxa" w:w="600"/>
            <w:tcBorders>
              <w:top w:val="single" w:color="D1D5DB" w:sz="1"/>
              <w:left w:val="single" w:color="005B70" w:sz="12"/>
              <w:bottom w:val="single" w:color="D1D5DB" w:sz="1"/>
              <w:right w:val="none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sz w:val="26"/>
                <w:szCs w:val="26"/>
              </w:rPr>
              <w:t xml:space="preserve">⚠️</w:t>
            </w:r>
          </w:p>
        </w:tc>
        <w:tc>
          <w:tcPr>
            <w:tcW w:type="dxa" w:w="9040"/>
            <w:tcBorders>
              <w:top w:val="single" w:color="D1D5DB" w:sz="1"/>
              <w:left w:val="none"/>
              <w:bottom w:val="single" w:color="D1D5DB" w:sz="1"/>
              <w:right w:val="single" w:color="D1D5DB" w:sz="1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333333"/>
                <w:sz w:val="24"/>
                <w:szCs w:val="24"/>
              </w:rPr>
              <w:t xml:space="preserve">Important</w:t>
            </w:r>
          </w:p>
          <w:p>
            <w:r>
              <w:rPr>
                <w:rFonts w:ascii="Arial" w:cs="Arial" w:eastAsia="Arial" w:hAnsi="Arial"/>
                <w:color w:val="555555"/>
                <w:sz w:val="22"/>
                <w:szCs w:val="22"/>
              </w:rPr>
              <w:t xml:space="preserve">The D365 tab must remain open while using the Inspector.</w:t>
            </w:r>
          </w:p>
        </w:tc>
      </w:tr>
    </w:tbl>
    <w:p>
      <w:r>
        <w:br w:type="page"/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2. Data Explorer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2.1 Select Entity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The extension auto-detects the current entity from your D365 tab. You can also search and select from the sidebar. The record count is displayed next to the entity name.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2.2 Select Fields (SELECT)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Add: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Click + Fields to open picker. Search by name, filter by type, toggle Custom.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Select All / None: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One-click buttons to add or remove all fields.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Bulk performance: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Select All uses single state update, no lag on 500+ fields.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2.3 Filter (WHERE) — Advanced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The WHERE clause supports filter groups with parentheses, like complex SOQL queries: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40"/>
      </w:tblGrid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Feature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How it works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Single condition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Select field → operator → value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Multiple conditions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Click '+ condition' to add within same group. Choose AND or OR.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Groups with parentheses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Click '+ groupe' to add a new group. Each group has its own AND/OR. Groups combined with top-level AND/OR.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Example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(name contains 'Contoso' OR name contains 'Fabrikam') AND statecode eq 0</w:t>
            </w:r>
          </w:p>
        </w:tc>
      </w:tr>
    </w:tbl>
    <w:p>
      <w:pPr>
        <w:pStyle w:val="Heading3"/>
        <w:spacing w:before="240" w:after="140"/>
      </w:pPr>
      <w:r>
        <w:rPr>
          <w:rFonts w:ascii="Arial" w:cs="Arial" w:eastAsia="Arial" w:hAnsi="Arial"/>
          <w:b/>
          <w:bCs/>
          <w:color w:val="0066FF"/>
          <w:sz w:val="26"/>
          <w:szCs w:val="26"/>
        </w:rPr>
        <w:t xml:space="preserve">2.3.1 Available Operators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  <w:gridCol w:w="3640"/>
      </w:tblGrid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Operator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OData Generated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Available On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= (equals)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field eq value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All types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≠ (not equals)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field ne value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All types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&gt; &lt; ≥ ≤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gt, lt, ge, le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Number, Date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contains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contains(field,'val')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String, Memo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not contains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not contains(field,'val')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String, Memo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starts with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startswith(field,'val')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String, Memo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not starts with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not startswith(field,'val')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String, Memo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ends with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endswith(field,'val')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String, Memo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not ends with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not endswith(field,'val')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String, Memo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is null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field eq null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All types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is not null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field ne null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All types</w:t>
            </w:r>
          </w:p>
        </w:tc>
      </w:tr>
    </w:tbl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2.4 Join Parents ($expand)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Click Relations button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Select a relationship (e.g. primarycontactid → contact)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Use embedded search to find fields (e.g. 'fullname')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Results show columns as entity.field (contact.fullname)</w:t>
      </w:r>
    </w:p>
    <w:p>
      <w:pPr>
        <w:pStyle w:val="Heading3"/>
        <w:spacing w:before="240" w:after="140"/>
      </w:pPr>
      <w:r>
        <w:rPr>
          <w:rFonts w:ascii="Arial" w:cs="Arial" w:eastAsia="Arial" w:hAnsi="Arial"/>
          <w:b/>
          <w:bCs/>
          <w:color w:val="0066FF"/>
          <w:sz w:val="26"/>
          <w:szCs w:val="26"/>
        </w:rPr>
        <w:t xml:space="preserve">2.4.1 Child Relations (1→N)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Click Relations to see two sections: ↑ Parent (N→1) for lookup joins, and ↓ Children (1→N) for child entity collections. Example: on Account, expand Opportunity to see all opportunities per account.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Collection values are comma-concatenated: if an account has 3 opportunities, the opportunity.name column shows 'Deal A, Deal B, Deal C'. A hidden __count field tracks the number of children.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2.5 Execute &amp; Export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Execute: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Green button or Ctrl+Enter. All pages auto-fetched in background.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Stop: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Click Stop to interrupt. Loaded records are kept.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Export XLSX: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Native Excel file with auto-sized columns (green button).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Copy Excel: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TSV to clipboard — paste directly into Excel/Sheets.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Copy/Download CSV/JSON: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Standard formats.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2.6 Saved Queries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Save: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Click ⭐ next to Execute. Enter a name. Query is saved to chrome.storage.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Load: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Click 📂 → select a saved query. Entity, fields, filters, expands, limit are restored.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Delete: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Click ✕ on a saved query to remove it.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2.7 FetchXML Mode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Click the FetchXML button in the query mode toggle (Builder | OData | FetchXML). A textarea appears with a placeholder. Three template buttons are available: Simple (statecode filter), Inner Join (link-entity with inner join), and Aggregation (group by + count). FetchXML supports paging cookie pagination for large result sets.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Example: To find accounts that have at least one opportunity, use link-type='inner'. To find accounts named TEST with opportunities, add a filter condition inside the entity tag.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2.8 Virtual Scrolling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The results table uses virtual scrolling for performance. Only ~35 rows are rendered at a time, regardless of total records. This means 10,000+ records scroll at 60fps without browser lag.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2.9 Clickable Lookups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In both Data Explorer results and Show All Data, lookup fields display a small ↗ icon. Clicking it opens the target record directly in D365 in a new tab. This works automatically with zero additional API calls.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2.10 Metadata Cache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The extension caches metadata locally for faster navigation. Entities are cached for 2 hours, fields and lookups for 1 hour. Click the '🔄 Vider le cache métadonnées' button in the sidebar footer to force a refresh after schema changes.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2.7 Bulk Delete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Check records using the checkbox column (or check all)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A red 'Delete N record(s)' button appears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Click it → confirm the irreversible action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Records are deleted from D365 and removed from the table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40"/>
      </w:tblGrid>
      <w:tr>
        <w:tc>
          <w:tcPr>
            <w:tcW w:type="dxa" w:w="600"/>
            <w:tcBorders>
              <w:top w:val="single" w:color="D1D5DB" w:sz="1"/>
              <w:left w:val="single" w:color="005B70" w:sz="12"/>
              <w:bottom w:val="single" w:color="D1D5DB" w:sz="1"/>
              <w:right w:val="none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sz w:val="26"/>
                <w:szCs w:val="26"/>
              </w:rPr>
              <w:t xml:space="preserve">⚠️</w:t>
            </w:r>
          </w:p>
        </w:tc>
        <w:tc>
          <w:tcPr>
            <w:tcW w:type="dxa" w:w="9040"/>
            <w:tcBorders>
              <w:top w:val="single" w:color="D1D5DB" w:sz="1"/>
              <w:left w:val="none"/>
              <w:bottom w:val="single" w:color="D1D5DB" w:sz="1"/>
              <w:right w:val="single" w:color="D1D5DB" w:sz="1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333333"/>
                <w:sz w:val="24"/>
                <w:szCs w:val="24"/>
              </w:rPr>
              <w:t xml:space="preserve">Warning</w:t>
            </w:r>
          </w:p>
          <w:p>
            <w:r>
              <w:rPr>
                <w:rFonts w:ascii="Arial" w:cs="Arial" w:eastAsia="Arial" w:hAnsi="Arial"/>
                <w:color w:val="555555"/>
                <w:sz w:val="22"/>
                <w:szCs w:val="22"/>
              </w:rPr>
              <w:t xml:space="preserve">Bulk delete is permanent. Always verify you're on SANDBOX, not PROD. The badge in the sidebar shows ⚠ PROD or SANDBOX.</w:t>
            </w:r>
          </w:p>
        </w:tc>
      </w:tr>
    </w:tbl>
    <w:p>
      <w:r>
        <w:br w:type="page"/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3. Show All Data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Auto-detects the open record from your D365 tab. Click the purple banner to inspect. Or enter a URL / entity/GUID manually. All fields displayed with Logical Name, type, value. Filter by filled/empty, custom only.</w:t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4. Metadata Browser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Browse all entities and their fields. View OptionSet values with integer codes and labels.</w:t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5. Login History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Search users by name or email. View login/logout timeline from D365 Audit. Stats: connections, active days, last/first login. Export CSV. Prerequisite: Audit must be enabled in D365 Settings.</w:t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6. Data Loader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6.1 Source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Upload CSV/TSV/TXT (drag &amp; drop) or paste from Excel (auto tab detection)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6.2 Mapping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Auto-maps CSV columns to D365 field names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System fields (createdon, modifiedon...) auto-ignored in gray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statecode auto-assigned 'statecode' transform (Active→0, Inactive→1)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CREATE (new records) or UPSERT (update/create with alternate key)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Primary key UPSERT: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When you select UPSERT, the primary key (e.g. accountid) is auto-suggested. Uses PATCH /accounts(GUID) format. The key is stripped from the payload body automatically.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Auto-exclusion: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Columns with GUID values are auto-detected as lookups and excluded from field mapping. Primary key is labeled 🔑 and lookups labeled 🔗 in the mapping table.</w:t>
      </w:r>
    </w:p>
    <w:p>
      <w:pPr>
        <w:pStyle w:val="Heading3"/>
        <w:spacing w:before="240" w:after="140"/>
      </w:pPr>
      <w:r>
        <w:rPr>
          <w:rFonts w:ascii="Arial" w:cs="Arial" w:eastAsia="Arial" w:hAnsi="Arial"/>
          <w:b/>
          <w:bCs/>
          <w:color w:val="0066FF"/>
          <w:sz w:val="26"/>
          <w:szCs w:val="26"/>
        </w:rPr>
        <w:t xml:space="preserve">6.2.1 Transforms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40"/>
      </w:tblGrid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Transform</w:t>
            </w:r>
          </w:p>
        </w:tc>
        <w:tc>
          <w:tcPr>
            <w:tcW w:type="dxa" w:w="7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Example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statecode</w:t>
            </w:r>
          </w:p>
        </w:tc>
        <w:tc>
          <w:tcPr>
            <w:tcW w:type="dxa" w:w="7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Active → 0, Inactive → 1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picklist</w:t>
            </w:r>
          </w:p>
        </w:tc>
        <w:tc>
          <w:tcPr>
            <w:tcW w:type="dxa" w:w="7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'3' → 3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boolean_yesno</w:t>
            </w:r>
          </w:p>
        </w:tc>
        <w:tc>
          <w:tcPr>
            <w:tcW w:type="dxa" w:w="7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Yes/Oui → true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boolean</w:t>
            </w:r>
          </w:p>
        </w:tc>
        <w:tc>
          <w:tcPr>
            <w:tcW w:type="dxa" w:w="7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'true' → true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int / float</w:t>
            </w:r>
          </w:p>
        </w:tc>
        <w:tc>
          <w:tcPr>
            <w:tcW w:type="dxa" w:w="7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'42' → 42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date_iso</w:t>
            </w:r>
          </w:p>
        </w:tc>
        <w:tc>
          <w:tcPr>
            <w:tcW w:type="dxa" w:w="7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'2025-01-15' → ISO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upper / lower</w:t>
            </w:r>
          </w:p>
        </w:tc>
        <w:tc>
          <w:tcPr>
            <w:tcW w:type="dxa" w:w="7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case conversion</w:t>
            </w:r>
          </w:p>
        </w:tc>
      </w:tr>
    </w:tbl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6.3 Performance ($batch)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Records are grouped in batches of 100 and sent via OData $batch endpoint (~10x faster). If $batch fails, automatic fallback to sequential mode per chunk.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6.4 Results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Created / Updated / Skipped / Errors with per-record detail. Error CSV export available.</w:t>
      </w:r>
    </w:p>
    <w:p>
      <w:r>
        <w:br w:type="page"/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7. Troubleshooting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40"/>
      </w:tblGrid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Issue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Solution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'D365 tab not found'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Reopen D365, click ⚡ again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'Session expired'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F5 on D365 tab, then ⚡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HTTP 400 on query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Extension auto-retries without $select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Login History empty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Enable Audit in D365 Settings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statecode 'Active' rejected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Add 'statecode' transform in mapping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$batch fails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Auto-fallback to sequential. Check D365 org settings.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White screen on launch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Open F12 console, check for errors, rebuild with npm run build</w:t>
            </w:r>
          </w:p>
        </w:tc>
      </w:tr>
    </w:tbl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8. FAQ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Q: Does the extension see my data?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No. All requests go directly from your browser to your D365 server.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Q: Do I need an Azure AD app?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No. Uses your existing browser session.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Q: Works on all D365 environments?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Yes. All crm*.dynamics.com, Production and Sandbox.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Q: Can the Data Loader delete records?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No. Use the Bulk Delete feature in Data Explorer results instead.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Q: How fast is $batch?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~100 records per HTTP request. 1000 records ≈ 10 requests instead of 1000.</w:t>
      </w:r>
    </w:p>
    <w:sectPr>
      <w:headerReference w:type="default" r:id="rId6"/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8"/>
        <w:szCs w:val="18"/>
      </w:rPr>
      <w:t xml:space="preserve">Colvio / zmissoum — Page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B7280"/>
        <w:sz w:val="18"/>
        <w:szCs w:val="18"/>
      </w:rPr>
      <w:t xml:space="preserve">Colvio — Training Guide v1.5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0066FF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80"/>
      <w:outlineLvl w:val="1"/>
    </w:pPr>
    <w:rPr>
      <w:rFonts w:ascii="Arial" w:cs="Arial" w:eastAsia="Arial" w:hAnsi="Arial"/>
      <w:b/>
      <w:bCs/>
      <w:color w:val="0066FF"/>
      <w:sz w:val="30"/>
      <w:szCs w:val="30"/>
    </w:rPr>
  </w:style>
  <w:style w:type="paragraph" w:styleId="Heading3">
    <w:name w:val="Heading 3"/>
    <w:basedOn w:val="Normal"/>
    <w:next w:val="Normal"/>
    <w:qFormat/>
    <w:pPr>
      <w:spacing w:before="220" w:after="140"/>
      <w:outlineLvl w:val="2"/>
    </w:pPr>
    <w:rPr>
      <w:rFonts w:ascii="Arial" w:cs="Arial" w:eastAsia="Arial" w:hAnsi="Arial"/>
      <w:b/>
      <w:bCs/>
      <w:color w:val="005B7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2026-03-23T19:27:24.696Z</dcterms:created>
  <dcterms:modified xsi:type="dcterms:W3CDTF">2026-03-23T19:27:24.696Z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