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Training Guide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Explore, load and audit Dynamics 365 / Dataverse from the browser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October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free, open-source</w:t>
      </w:r>
      <w:r>
        <w:t xml:space="preserve"> Chrome extension for Microsoft Dynamics 365 / Dataverse. It rides on your existing browser session: </w:t>
      </w:r>
      <w:r>
        <w:rPr>
          <w:b/>
          <w:bCs/>
        </w:rPr>
        <w:t xml:space="preserve">no API key, no app registration, no account</w:t>
      </w:r>
      <w:r>
        <w:t xml:space="preserve">. Open a D365 page, click the Colvio icon, start working.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configuration</w:t>
      </w:r>
      <w:r>
        <w:t xml:space="preserve"> — authentication reuses your D365 session cookies.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Privacy first</w:t>
      </w:r>
      <w:r>
        <w:t xml:space="preserve"> — nothing leaves the browser: no telemetry, no third-party servers.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21 modules</w:t>
      </w:r>
      <w:r>
        <w:t xml:space="preserve"> covering exploration, restore, data loading, API testing, modeling and auditing.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/ FR</w:t>
      </w:r>
      <w:r>
        <w:t xml:space="preserve"> interface, dark/light theme, searchable built-in Help.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Recommended screenshot here: the Colvio sidebar with all 21 tabs, on your demo org.</w:t>
      </w:r>
    </w:p>
    <w:p>
      <w:pPr>
        <w:pStyle w:val="Heading1"/>
      </w:pPr>
      <w:r>
        <w:t xml:space="preserve">2. Installation &amp; first launch</w:t>
      </w:r>
    </w:p>
    <w:p>
      <w:pPr>
        <w:pStyle w:val="Heading2"/>
      </w:pPr>
      <w:r>
        <w:t xml:space="preserve">Install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From the </w:t>
      </w:r>
      <w:r>
        <w:rPr>
          <w:b/>
          <w:bCs/>
        </w:rPr>
        <w:t xml:space="preserve">Chrome Web Store</w:t>
      </w:r>
      <w:r>
        <w:t xml:space="preserve">: search “Colvio for Dynamics 365” and Install (or from source: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then load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in Developer Mode).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Pin the Colvio icon to the Chrome toolbar.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any </w:t>
      </w:r>
      <w:r>
        <w:rPr>
          <w:b/>
          <w:bCs/>
        </w:rPr>
        <w:t xml:space="preserve">Dynamics 365</w:t>
      </w:r>
      <w:r>
        <w:t xml:space="preserve"> page (your usual org).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the Colvio icon: the panel opens in a new tab, already connected to your org.</w:t>
      </w:r>
    </w:p>
    <w:p>
      <w:pPr>
        <w:pStyle w:val="Heading2"/>
      </w:pPr>
      <w:r>
        <w:t xml:space="preserve">Environment badge</w:t>
      </w:r>
    </w:p>
    <w:p>
      <w:pPr>
        <w:spacing w:after="120"/>
      </w:pPr>
      <w:r>
        <w:t xml:space="preserve">At the top of the panel, a badge shows the environment: </w:t>
      </w:r>
      <w:r>
        <w:rPr>
          <w:b/>
          <w:bCs/>
        </w:rPr>
        <w:t xml:space="preserve">⚠ PROD</w:t>
      </w:r>
      <w:r>
        <w:t xml:space="preserve"> (red) or </w:t>
      </w:r>
      <w:r>
        <w:rPr>
          <w:b/>
          <w:bCs/>
        </w:rPr>
        <w:t xml:space="preserve">SANDBOX / UAT / DEV / TRIAL</w:t>
      </w:r>
      <w:r>
        <w:t xml:space="preserve"> (green). It maps Microsoft's DOCUMENTED OrganizationType enum: a production org reports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— the enum has no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Production</w:t>
      </w:r>
      <w:r>
        <w:t xml:space="preserve"> member — and any unknown value is presumed production (fail-closed). Colvio's PROD confirmations (Loader, bulk update/delete, edits) arm on this detection. Always check the badge before loading data.</w:t>
      </w:r>
    </w:p>
    <w:p>
      <w:pPr>
        <w:pStyle w:val="Heading2"/>
      </w:pPr>
      <w:r>
        <w:t xml:space="preserve">Permission-based tabs</w:t>
      </w:r>
    </w:p>
    <w:p>
      <w:pPr>
        <w:spacing w:after="120"/>
      </w:pPr>
      <w:r>
        <w:t xml:space="preserve">On startup Colvio probes your permissions and hides tabs you can't use (Security Audit, Login History, Users &amp; Licenses need audit/user read rights; the Loader's Speed boosters require System Administrator). Rights are </w:t>
      </w:r>
      <w:r>
        <w:rPr>
          <w:b/>
          <w:bCs/>
        </w:rPr>
        <w:t xml:space="preserve">always re-enforced server-side</w:t>
      </w:r>
      <w:r>
        <w:t xml:space="preserve"> by Dataverse: Colvio can never exceed your security roles.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The core module: query any table in your org with one of </w:t>
      </w:r>
      <w:r>
        <w:rPr>
          <w:b/>
          <w:bCs/>
        </w:rPr>
        <w:t xml:space="preserve">4 query modes</w:t>
      </w:r>
      <w:r>
        <w:t xml:space="preserve">, then sort, edit and export the results.</w:t>
      </w:r>
    </w:p>
    <w:p>
      <w:pPr>
        <w:pStyle w:val="Heading2"/>
      </w:pPr>
      <w:r>
        <w:t xml:space="preserve">The 4 query modes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visual: column picker, WHERE filters in AND/OR groups (14 operators), parent and child $expand (with per-expand filters), sorting,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the raw URL, directly editable.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editor with 3 templates (simple, join, aggregation) and paging-cookie pagination.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write familiar SQL, Colvio translates it to FetchXML (see below).</w:t>
      </w:r>
    </w:p>
    <w:p>
      <w:pPr>
        <w:pStyle w:val="Heading2"/>
      </w:pPr>
      <w:r>
        <w:t xml:space="preserve">Working with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Auto-pagination</w:t>
      </w:r>
      <w:r>
        <w:t xml:space="preserve"> with no 5,000-row cap, smooth virtual scrolling on 10,000+ records.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Inline edit</w:t>
      </w:r>
      <w:r>
        <w:t xml:space="preserve"> — double-click a cell to modify it (direct PATCH).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on selection, with typed confirmation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 pre-check.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Saved queries</w:t>
      </w:r>
      <w:r>
        <w:t xml:space="preserve"> (20), </w:t>
      </w:r>
      <w:r>
        <w:rPr>
          <w:b/>
          <w:bCs/>
        </w:rPr>
        <w:t xml:space="preserve">history</w:t>
      </w:r>
      <w:r>
        <w:t xml:space="preserve"> (20) and </w:t>
      </w:r>
      <w:r>
        <w:rPr>
          <w:b/>
          <w:bCs/>
        </w:rPr>
        <w:t xml:space="preserve">5 ready-made templates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Clickable lookups (opens the record in D365), copy OData URL.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SQL mode</w:t>
      </w:r>
    </w:p>
    <w:p>
      <w:pPr>
        <w:spacing w:after="120"/>
      </w:pPr>
      <w:r>
        <w:t xml:space="preserve">Two engines, one toggle. </w:t>
      </w:r>
      <w:r>
        <w:rPr>
          <w:b/>
          <w:bCs/>
        </w:rPr>
        <w:t xml:space="preserve">⚡ Native</w:t>
      </w:r>
      <w:r>
        <w:t xml:space="preserve"> (default): your SELECT goes straight to Dataverse via the Web 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?sql=</w:t>
      </w:r>
      <w:r>
        <w:t xml:space="preserve"> option — the server parses it: multi-table JOINs with aliases, self-joins, DISTINCT, server-side GROUP BY and aggregates, DATEADD/GETUTCDATE relative dates (no SELECT *, subqueries, HAVING or TOP; aggregates capped at 50,000). </w:t>
      </w:r>
      <w:r>
        <w:rPr>
          <w:b/>
          <w:bCs/>
        </w:rPr>
        <w:t xml:space="preserve">⇄ Transpiled</w:t>
      </w:r>
      <w:r>
        <w:t xml:space="preserve">: Colvio converts the SQL to FetchXML — the only engine with HAVING and TOP, and the automatic fallback when the org lacks the option: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“View FetchXML” button shows the generated XML — a great way to learn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Postman-style</w:t>
      </w:r>
      <w:r>
        <w:t xml:space="preserve"> client for the Dataverse Web API with zero setup: authentication rides on your active D365 session (no OAuth, no client secret, no token refresh).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 / POST / PATCH / PUT / DELETE</w:t>
      </w:r>
      <w:r>
        <w:t xml:space="preserve"> on a relative path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or a full same-org URL (the host is re-validated: calling another domain is impossible).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Header autocomplete</w:t>
      </w:r>
      <w:r>
        <w:t xml:space="preserve"> for common Dataverse headers: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JSON body editor</w:t>
      </w:r>
      <w:r>
        <w:t xml:space="preserve"> with line numbers and live validation (errors point at the exact 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Response: status, elapsed time, size, pretty JSON, headers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: WhoAmI, CREATE, PATCH, UPSERT by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</w:t>
      </w:r>
      <w:r>
        <w:t xml:space="preserve"> of the last 50 requests (secret-bearing headers like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are redacted before local save).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send with </w:t>
      </w:r>
      <w:r>
        <w:rPr>
          <w:b/>
          <w:bCs/>
        </w:rPr>
        <w:t xml:space="preserve">Ctrl/Cmd+Enter</w:t>
      </w:r>
      <w:r>
        <w:t xml:space="preserve">, multiple tabs.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Typical uses: test a call before wiring it into a plugin or Power Automate, reproduce a support ticket, check how an MSCRM header behaves.</w:t>
      </w:r>
    </w:p>
    <w:p>
      <w:pPr>
        <w:pStyle w:val="Heading1"/>
      </w:pPr>
      <w:r>
        <w:t xml:space="preserve">5. Inspecting a record and the metadata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Auto-detects the record open in your D365 tab (or paste a URL / GUID) and shows </w:t>
      </w:r>
      <w:r>
        <w:rPr>
          <w:b/>
          <w:bCs/>
        </w:rPr>
        <w:t xml:space="preserve">every field</w:t>
      </w:r>
      <w:r>
        <w:t xml:space="preserve">: logical name, label, type, value. Clickable lookups, copy per-field or full JSON. Writable fields edit inline — </w:t>
      </w:r>
      <w:r>
        <w:rPr>
          <w:b/>
          <w:bCs/>
        </w:rPr>
        <w:t xml:space="preserve">lookups included</w:t>
      </w:r>
      <w:r>
        <w:t xml:space="preserve">: paste the target GUID to link/relink, clear to unlink, all validated before sending (production confirms first).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Browse entities, fields and OptionSets (value, label, description, color). </w:t>
      </w:r>
      <w:r>
        <w:rPr>
          <w:b/>
          <w:bCs/>
        </w:rPr>
        <w:t xml:space="preserve">CSV export of all fields</w:t>
      </w:r>
      <w:r>
        <w:t xml:space="preserve"> of an entity (logical name, OData name, type, required, custom) — an instant data dictionary — and </w:t>
      </w:r>
      <w:r>
        <w:rPr>
          <w:b/>
          <w:bCs/>
        </w:rPr>
        <w:t xml:space="preserve">export of all OptionSets</w:t>
      </w:r>
      <w:r>
        <w:t xml:space="preserve">. </w:t>
      </w:r>
      <w:r>
        <w:rPr>
          <w:b/>
          <w:bCs/>
        </w:rPr>
        <w:t xml:space="preserve">Virtual / Elastic chips</w:t>
      </w:r>
      <w:r>
        <w:t xml:space="preserve"> filter by table type (find every virtual table at a glance). This is where you check a picklist's exact labels before a label-based import.</w:t>
      </w:r>
    </w:p>
    <w:p>
      <w:r>
        <w:br w:type="page"/>
      </w:r>
    </w:p>
    <w:p>
      <w:pPr>
        <w:pStyle w:val="Heading1"/>
      </w:pPr>
      <w:r>
        <w:t xml:space="preserve">6. Data Loader — bulk data loading</w:t>
      </w:r>
    </w:p>
    <w:p>
      <w:pPr>
        <w:spacing w:after="120"/>
      </w:pPr>
      <w:r>
        <w:t xml:space="preserve">The Data Loader imports </w:t>
      </w:r>
      <w:r>
        <w:rPr>
          <w:b/>
          <w:bCs/>
        </w:rPr>
        <w:t xml:space="preserve">CSV, TSV or Excel</w:t>
      </w:r>
      <w:r>
        <w:t xml:space="preserve"> files into any table through a 5-step wizard. It is built for large volumes (hundreds of thousands of rows) with real-time per-row feedback.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Step 1 — Source</w:t>
      </w:r>
    </w:p>
    <w:p>
      <w:pPr>
        <w:spacing w:after="120"/>
      </w:pPr>
      <w:r>
        <w:t xml:space="preserve">Drag-drop a file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or paste straight from Excel. The delimiter is auto-detected (comma, tab, semicolon) and the parser is </w:t>
      </w:r>
      <w:r>
        <w:rPr>
          <w:b/>
          <w:bCs/>
        </w:rPr>
        <w:t xml:space="preserve">RFC-4180</w:t>
      </w:r>
      <w:r>
        <w:t xml:space="preserve"> compliant: quoted cells, embedded commas and line breaks, escaped quotes. Values are trimmed and leading zeros preserved (SAP-style codes…).</w:t>
      </w:r>
    </w:p>
    <w:p>
      <w:pPr>
        <w:pStyle w:val="Heading2"/>
      </w:pPr>
      <w:r>
        <w:t xml:space="preserve">Step 2 — Mapping &amp; transforms</w:t>
      </w:r>
    </w:p>
    <w:p>
      <w:pPr>
        <w:spacing w:after="120"/>
      </w:pPr>
      <w:r>
        <w:t xml:space="preserve">File columns auto-map to D365 fields (name matching + common fields). Lookup-type columns are detected and </w:t>
      </w:r>
      <w:r>
        <w:rPr>
          <w:b/>
          <w:bCs/>
        </w:rPr>
        <w:t xml:space="preserve">routed to the Lookups step</w:t>
      </w:r>
      <w:r>
        <w:t xml:space="preserve"> — never written raw. A pre-flight warning flags fields that are </w:t>
      </w:r>
      <w:r>
        <w:rPr>
          <w:b/>
          <w:bCs/>
        </w:rPr>
        <w:t xml:space="preserve">not writable</w:t>
      </w:r>
      <w:r>
        <w:t xml:space="preserve"> for the chosen mode (calculated, rollup). Each column can take a transform: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accepts the numeric value </w:t>
      </w:r>
      <w:r>
        <w:rPr>
          <w:b/>
          <w:bCs/>
        </w:rPr>
        <w:t xml:space="preserve">or the label</w:t>
      </w:r>
      <w:r>
        <w:t xml:space="preserve"> (“Hot”, “3 - Hot”): the OptionSet is preloaded and labels converted; unmatched labels are </w:t>
      </w:r>
      <w:r>
        <w:rPr>
          <w:b/>
          <w:bCs/>
        </w:rPr>
        <w:t xml:space="preserve">listed after the run</w:t>
      </w:r>
      <w:r>
        <w:t xml:space="preserve"> instead of silently dropped.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kept as-is (no timezone shift),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auto-detected), optional 24h or AM/PM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locale-aware: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yes-no</w:t>
      </w:r>
      <w:r>
        <w:t xml:space="preserve">, UPPER / lower.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Mapping templates</w:t>
      </w:r>
      <w:r>
        <w:rPr>
          <w:color w:val="6B778C"/>
          <w:sz w:val="20"/>
          <w:szCs w:val="20"/>
        </w:rPr>
        <w:t xml:space="preserve">: save the full configuration (mappings, lookups, key, mode, performance) and reload it next time you import into the same entity.</w:t>
      </w:r>
    </w:p>
    <w:p>
      <w:pPr>
        <w:pStyle w:val="Heading2"/>
      </w:pPr>
      <w:r>
        <w:t xml:space="preserve">Step 3 — Parent Lookups</w:t>
      </w:r>
    </w:p>
    <w:p>
      <w:pPr>
        <w:spacing w:after="120"/>
      </w:pPr>
      <w:r>
        <w:t xml:space="preserve">For each parent relationship pick the </w:t>
      </w:r>
      <w:r>
        <w:rPr>
          <w:b/>
          <w:bCs/>
        </w:rPr>
        <w:t xml:space="preserve">mode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(the column already holds the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resolves the value — e.g. an email — to the GUID with one query per unique value), or </w:t>
      </w:r>
      <w:r>
        <w:rPr>
          <w:b/>
          <w:bCs/>
        </w:rPr>
        <w:t xml:space="preserve">direct alternate-key binding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, no resolution query at all — fastest). When a value doesn't match, your chosen </w:t>
      </w:r>
      <w:r>
        <w:rPr>
          <w:b/>
          <w:bCs/>
        </w:rPr>
        <w:t xml:space="preserve">fallback</w:t>
      </w:r>
      <w:r>
        <w:t xml:space="preserve"> applies: Skip (row skipped), Null (row loaded without the lookup) or Error.</w:t>
      </w:r>
    </w:p>
    <w:p>
      <w:pPr>
        <w:pStyle w:val="Heading2"/>
      </w:pPr>
      <w:r>
        <w:t xml:space="preserve">Step 4 — Pick the import mode</w:t>
      </w:r>
    </w:p>
    <w:p>
      <w:pPr>
        <w:spacing w:after="120"/>
      </w:pPr>
      <w:r>
        <w:t xml:space="preserve">The most important choice in the wizard. The key (GUID or </w:t>
      </w:r>
      <w:r>
        <w:rPr>
          <w:b/>
          <w:bCs/>
        </w:rPr>
        <w:t xml:space="preserve">alternate key</w:t>
      </w:r>
      <w:r>
        <w:t xml:space="preserve">) addresses the record in the URL — it is never duplicated in the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 it for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Every row becomes a new record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Initial loads, brand-new data.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on the key: update if found, </w:t>
            </w:r>
            <w:r>
              <w:rPr>
                <w:b/>
                <w:bCs/>
                <w:sz w:val="20"/>
                <w:szCs w:val="20"/>
              </w:rPr>
              <w:t xml:space="preserve">create otherwise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Repeated syncs, idempotent migrations.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Strictly update: native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header on every PATCH → </w:t>
            </w:r>
            <w:r>
              <w:rPr>
                <w:b/>
                <w:bCs/>
                <w:sz w:val="20"/>
                <w:szCs w:val="20"/>
              </w:rPr>
              <w:t xml:space="preserve">404 when missing, never a create</w:t>
            </w:r>
            <w:r>
              <w:rPr>
                <w:sz w:val="20"/>
                <w:szCs w:val="20"/>
              </w:rPr>
              <w:t xml:space="preserve">. Empty key = error. Optional “verify existence first” safety net.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Mass updates where any create would be a bug (e.g. enriching 400k existing contacts).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Deletes the records matched on the key. Typed confirmation.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Targeted purges by business key, import rollbacks.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In UPDATE mode, rows failing with 404 are </w:t>
      </w:r>
      <w:r>
        <w:rPr>
          <w:b/>
          <w:bCs/>
          <w:color w:val="6B778C"/>
          <w:sz w:val="20"/>
          <w:szCs w:val="20"/>
        </w:rPr>
        <w:t xml:space="preserve">by design</w:t>
      </w:r>
      <w:r>
        <w:rPr>
          <w:color w:val="6B778C"/>
          <w:sz w:val="20"/>
          <w:szCs w:val="20"/>
        </w:rPr>
        <w:t xml:space="preserve">: the key matches no record and nothing is created. Switch to UPSERT if creation is desired.</w:t>
      </w:r>
    </w:p>
    <w:p>
      <w:pPr>
        <w:pStyle w:val="Heading2"/>
      </w:pPr>
      <w:r>
        <w:t xml:space="preserve">Step 5 — Performance</w:t>
      </w:r>
    </w:p>
    <w:p>
      <w:pPr>
        <w:spacing w:after="120"/>
      </w:pPr>
      <w:r>
        <w:t xml:space="preserve">Records are sent as </w:t>
      </w:r>
      <w:r>
        <w:rPr>
          <w:b/>
          <w:bCs/>
        </w:rPr>
        <w:t xml:space="preserve">multipart $batch</w:t>
      </w:r>
      <w:r>
        <w:t xml:space="preserve"> with one changeset per record: a failing row never rolls back the others. Tune </w:t>
      </w:r>
      <w:r>
        <w:rPr>
          <w:b/>
          <w:bCs/>
        </w:rPr>
        <w:t xml:space="preserve">batch size (1-500) × threads (1-10)</w:t>
      </w:r>
      <w:r>
        <w:t xml:space="preserve"> — defaults 200 × 6 ≈ 3-4k records/second. Dataverse throttling (429) is retried automatically honoring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Cancel</w:t>
      </w:r>
      <w:r>
        <w:t xml:space="preserve"> stops everything, including pending retries: no writes after cancel.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only): per-record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They can multiply throughput on heavily customized entities — but server-side business logic is skipped: only use on already-validated data.</w:t>
      </w:r>
    </w:p>
    <w:p>
      <w:pPr>
        <w:pStyle w:val="Heading2"/>
      </w:pPr>
      <w:r>
        <w:t xml:space="preserve">The live log</w:t>
      </w:r>
    </w:p>
    <w:p>
      <w:pPr>
        <w:spacing w:after="120"/>
      </w:pPr>
      <w:r>
        <w:t xml:space="preserve">During the run every row appears with its CSV values and </w:t>
      </w:r>
      <w:r>
        <w:rPr>
          <w:b/>
          <w:bCs/>
        </w:rPr>
        <w:t xml:space="preserve">Success / Failed</w:t>
      </w:r>
      <w:r>
        <w:t xml:space="preserve"> status + the exact Dataverse error. After the run: click a row to see the </w:t>
      </w:r>
      <w:r>
        <w:rPr>
          <w:b/>
          <w:bCs/>
        </w:rPr>
        <w:t xml:space="preserve">exact request sent</w:t>
      </w:r>
      <w:r>
        <w:t xml:space="preserve"> (method, URL, headers, body), export the full log or only the errors as CSV, and review the list of unconverted option-set labels.</w:t>
      </w:r>
    </w:p>
    <w:p>
      <w:r>
        <w:br w:type="page"/>
      </w:r>
    </w:p>
    <w:p>
      <w:pPr>
        <w:pStyle w:val="Heading1"/>
      </w:pPr>
      <w:r>
        <w:t xml:space="preserve">6b. Safety net &amp; new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Before a risky load: </w:t>
      </w:r>
      <w:r>
        <w:rPr>
          <w:b/>
          <w:bCs/>
        </w:rPr>
        <w:t xml:space="preserve">Dry run</w:t>
      </w:r>
      <w:r>
        <w:t xml:space="preserve"> simulates the whole import with zero writes and reports row by row what a real run would do. After a create run: </w:t>
      </w:r>
      <w:r>
        <w:rPr>
          <w:b/>
          <w:bCs/>
        </w:rPr>
        <w:t xml:space="preserve">Rollback</w:t>
      </w:r>
      <w:r>
        <w:t xml:space="preserve"> deletes exactly the records that run created (GUIDs captured from the batch responses), typed confirmation. On recurring syncs: </w:t>
      </w:r>
      <w:r>
        <w:rPr>
          <w:b/>
          <w:bCs/>
        </w:rPr>
        <w:t xml:space="preserve">Delta mode</w:t>
      </w:r>
      <w:r>
        <w:t xml:space="preserve"> reads current values first and only sends the fields that actually changed — unchanged rows are skipped (UNCHANGED status).</w:t>
      </w:r>
    </w:p>
    <w:p>
      <w:pPr>
        <w:pStyle w:val="Heading2"/>
      </w:pPr>
      <w:r>
        <w:t xml:space="preserve">Recycle Bin</w:t>
      </w:r>
    </w:p>
    <w:p>
      <w:pPr>
        <w:spacing w:after="120"/>
      </w:pPr>
      <w:r>
        <w:t xml:space="preserve">Lists and </w:t>
      </w:r>
      <w:r>
        <w:rPr>
          <w:b/>
          <w:bCs/>
        </w:rPr>
        <w:t xml:space="preserve">restores deleted records</w:t>
      </w:r>
      <w:r>
        <w:t xml:space="preserve"> (true server-side restore, original values) when the org-level Keep-deleted-records setting is on (1-30 day retention). Microsoft limitations are shown in the module: pre-enablement deletes, virtual/elastic/solution tables, tables with more than 600 columns, cascade ordering, key conflicts.</w:t>
      </w:r>
    </w:p>
    <w:p>
      <w:pPr>
        <w:pStyle w:val="Heading2"/>
      </w:pPr>
      <w:r>
        <w:t xml:space="preserve">Record change history</w:t>
      </w:r>
    </w:p>
    <w:p>
      <w:pPr>
        <w:spacing w:after="120"/>
      </w:pPr>
      <w:r>
        <w:t xml:space="preserve">In Show All Data, every record gets a </w:t>
      </w:r>
      <w:r>
        <w:rPr>
          <w:b/>
          <w:bCs/>
        </w:rPr>
        <w:t xml:space="preserve">History</w:t>
      </w:r>
      <w:r>
        <w:t xml:space="preserve"> panel: the audit timeline (who, when, action) and a field-level diff (old → new). Requires auditing enabled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System Jobs</w:t>
      </w:r>
      <w:r>
        <w:t xml:space="preserve">: quick filters (failed, waiting, in progress), bulk cancel/resume for admins — platform-maintenance jobs cannot be cancelled. </w:t>
      </w:r>
      <w:r>
        <w:rPr>
          <w:b/>
          <w:bCs/>
        </w:rPr>
        <w:t xml:space="preserve">Plugin Traces</w:t>
      </w:r>
      <w:r>
        <w:t xml:space="preserve">: exceptions highlighted, full trace text (10 KB cap), CSV export; ~24h auto-purge.</w:t>
      </w:r>
    </w:p>
    <w:p>
      <w:pPr>
        <w:pStyle w:val="Heading2"/>
      </w:pPr>
      <w:r>
        <w:t xml:space="preserve">Schema snapshot &amp; diff</w:t>
      </w:r>
    </w:p>
    <w:p>
      <w:pPr>
        <w:spacing w:after="120"/>
      </w:pPr>
      <w:r>
        <w:t xml:space="preserve">In the Metadata Browser (⇄ button): export the schema as JSON on one org, load it on another, and get a </w:t>
      </w:r>
      <w:r>
        <w:rPr>
          <w:b/>
          <w:bCs/>
        </w:rPr>
        <w:t xml:space="preserve">ranked diff</w:t>
      </w:r>
      <w:r>
        <w:t xml:space="preserve"> (missing tables/columns, type mismatches) with CSV export — ideal before a DEV → UAT → PROD deployment.</w:t>
      </w:r>
    </w:p>
    <w:p>
      <w:r>
        <w:br w:type="page"/>
      </w:r>
    </w:p>
    <w:p>
      <w:pPr>
        <w:pStyle w:val="Heading1"/>
      </w:pPr>
      <w:r>
        <w:t xml:space="preserve">7. Modeling: schema, relationships, solutions, translations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Interactive Entity-Relationship Diagram: add entities to the canvas, cards show fields with FK badges, curves connect each lookup to its target. </w:t>
      </w:r>
      <w:r>
        <w:rPr>
          <w:b/>
          <w:bCs/>
        </w:rPr>
        <w:t xml:space="preserve">N:N relationships</w:t>
      </w:r>
      <w:r>
        <w:t xml:space="preserve"> draw as dashed lines between cards. Drag, zoom, “+” adds related entities. Export </w:t>
      </w:r>
      <w:r>
        <w:rPr>
          <w:b/>
          <w:bCs/>
        </w:rPr>
        <w:t xml:space="preserve">PNG, SVG, Mermaid</w:t>
      </w:r>
      <w:r>
        <w:t xml:space="preserve"> — your data model, ready for a wiki or a deck.</w:t>
      </w:r>
    </w:p>
    <w:p>
      <w:pPr>
        <w:pStyle w:val="Heading2"/>
      </w:pPr>
      <w:r>
        <w:t xml:space="preserve">Relationships</w:t>
      </w:r>
    </w:p>
    <w:p>
      <w:pPr>
        <w:spacing w:after="120"/>
      </w:pPr>
      <w:r>
        <w:t xml:space="preserve">Relationship graph for one entity: N:1 parents, 1:N children, N:N. </w:t>
      </w:r>
      <w:r>
        <w:rPr>
          <w:b/>
          <w:bCs/>
        </w:rPr>
        <w:t xml:space="preserve">Business</w:t>
      </w:r>
      <w:r>
        <w:t xml:space="preserve"> relationships show first; the system plumbing (createdby, owner, currency…) hides behind a toggle. ↻ reloads from the org (metadata is cached 1 h). Depth 1-2, click to drill down.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Browse installed solutions and their components, resolved to readable names (13 types: entities, attributes, views, plugins, web resources, roles…). Managed/Unmanaged badges.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View and edit field labels across all installed languages, inline. Non-renameable fields are locked. CSV export/import for bulk translation, auto-publish.</w:t>
      </w:r>
    </w:p>
    <w:p>
      <w:pPr>
        <w:pStyle w:val="Heading1"/>
      </w:pPr>
      <w:r>
        <w:t xml:space="preserve">8. Admin modules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All users with Access Mode, CAL Type, BU, security roles and </w:t>
      </w:r>
      <w:r>
        <w:rPr>
          <w:b/>
          <w:bCs/>
        </w:rPr>
        <w:t xml:space="preserve">last login</w:t>
      </w:r>
      <w:r>
        <w:t xml:space="preserve"> (from audit). License-type breakdown, unused-license detection (disabled users, never logged in). CSV export.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All security roles with privileges as readable labels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“Delete · Account”), depth badges (User / BU / Parent:Child / </w:t>
      </w:r>
      <w:r>
        <w:rPr>
          <w:b/>
          <w:bCs/>
        </w:rPr>
        <w:t xml:space="preserve">Org</w:t>
      </w:r>
      <w:r>
        <w:t xml:space="preserve"> in red), and 30+ sensitive privileges flagged. CSV export per role.</w:t>
      </w:r>
    </w:p>
    <w:p>
      <w:pPr>
        <w:pStyle w:val="Heading2"/>
      </w:pPr>
      <w:r>
        <w:t xml:space="preserve">Teams</w:t>
      </w:r>
    </w:p>
    <w:p>
      <w:pPr>
        <w:spacing w:after="120"/>
      </w:pPr>
      <w:r>
        <w:t xml:space="preserve">Every team in the org by type (owner, Entra group, on-demand access teams): the members, and above all the </w:t>
      </w:r>
      <w:r>
        <w:rPr>
          <w:b/>
          <w:bCs/>
        </w:rPr>
        <w:t xml:space="preserve">security roles the team carries</w:t>
      </w:r>
      <w:r>
        <w:t xml:space="preserve"> — inherited by every member without ever showing on their profile. It answers the question: why does this user have that right? For Entra teams: copiable group Object ID, plus the reminder that membership materializes on the user's next access.</w:t>
      </w:r>
    </w:p>
    <w:p>
      <w:pPr>
        <w:pStyle w:val="Heading2"/>
      </w:pPr>
      <w:r>
        <w:t xml:space="preserve">Storage</w:t>
      </w:r>
    </w:p>
    <w:p>
      <w:pPr>
        <w:spacing w:after="120"/>
      </w:pPr>
      <w:r>
        <w:t xml:space="preserve">Where your Dataverse capacity goes: the row count of </w:t>
      </w:r>
      <w:r>
        <w:rPr>
          <w:b/>
          <w:bCs/>
        </w:rPr>
        <w:t xml:space="preserve">every table</w:t>
      </w:r>
      <w:r>
        <w:t xml:space="preserve"> (Dataverse snapshot under 24 h old — the whole org in seconds), ranked and tagged Database / File / Log, the </w:t>
      </w:r>
      <w:r>
        <w:rPr>
          <w:b/>
          <w:bCs/>
        </w:rPr>
        <w:t xml:space="preserve">system tables that grow silently</w:t>
      </w:r>
      <w:r>
        <w:t xml:space="preserve"> with the cleanup action that applies, and </w:t>
      </w:r>
      <w:r>
        <w:rPr>
          <w:b/>
          <w:bCs/>
        </w:rPr>
        <w:t xml:space="preserve">file storage per table in real bytes</w:t>
      </w:r>
      <w:r>
        <w:t xml:space="preserve"> (notes, file/image columns, attachments), computed in the background. The billed GB stay in the Power Platform admin center (Licensing → Dataverse) — the module links there.</w:t>
      </w:r>
    </w:p>
    <w:p>
      <w:pPr>
        <w:pStyle w:val="Heading2"/>
      </w:pPr>
      <w:r>
        <w:t xml:space="preserve">Business Units &amp; Adoption</w:t>
      </w:r>
    </w:p>
    <w:p>
      <w:pPr>
        <w:spacing w:after="120"/>
      </w:pPr>
      <w:r>
        <w:t xml:space="preserve">Business-unit hierarchy as a tree or a </w:t>
      </w:r>
      <w:r>
        <w:rPr>
          <w:b/>
          <w:bCs/>
        </w:rPr>
        <w:t xml:space="preserve">full-screen org chart</w:t>
      </w:r>
      <w:r>
        <w:t xml:space="preserve"> (PNG export). Bulk user moves — tick, or </w:t>
      </w:r>
      <w:r>
        <w:rPr>
          <w:b/>
          <w:bCs/>
        </w:rPr>
        <w:t xml:space="preserve">paste a list of emails</w:t>
      </w:r>
      <w:r>
        <w:t xml:space="preserve"> (selection within the displayed BU, or an org-wide search to move INTO the BU) — with the roles truth stated before confirming. </w:t>
      </w:r>
      <w:r>
        <w:rPr>
          <w:b/>
          <w:bCs/>
        </w:rPr>
        <w:t xml:space="preserve">Adoption</w:t>
      </w:r>
      <w:r>
        <w:t xml:space="preserve">: access events, DAU/WAU/MAU, per-BU rates, inactivity, one-click PowerPoint report.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Access timeline per user (D365 user-access audit): app vs web-services (API) access, active days, last access, CSV/Excel export — Dataverse has no sign-out event, so no session durations. Requires auditing enabled with “Audit user access”.</w:t>
      </w:r>
    </w:p>
    <w:p>
      <w:pPr>
        <w:pStyle w:val="Heading1"/>
      </w:pPr>
      <w:r>
        <w:t xml:space="preserve">9. Exports &amp; file naming</w:t>
      </w:r>
    </w:p>
    <w:p>
      <w:pPr>
        <w:spacing w:after="120"/>
      </w:pPr>
      <w:r>
        <w:t xml:space="preserve">Every export follows the same naming convention: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&lt;object&gt;_&lt;YYYYMMDD&gt;.&lt;ext&gt;</w:t>
      </w:r>
      <w:r>
        <w:t xml:space="preserve"> — e.g.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run logs add the time: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several runs the same day never overwrite each other.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cells are protected against formula injection; XLSX exports keep </w:t>
      </w:r>
      <w:r>
        <w:rPr>
          <w:b/>
          <w:bCs/>
        </w:rPr>
        <w:t xml:space="preserve">real numeric cells</w:t>
      </w:r>
      <w:r>
        <w:t xml:space="preserve"> (SUM works).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opens downloaded files in </w:t>
      </w:r>
      <w:r>
        <w:rPr>
          <w:b/>
          <w:bCs/>
          <w:color w:val="6B778C"/>
          <w:sz w:val="20"/>
          <w:szCs w:val="20"/>
        </w:rPr>
        <w:t xml:space="preserve">Protected View</w:t>
      </w:r>
      <w:r>
        <w:rPr>
          <w:color w:val="6B778C"/>
          <w:sz w:val="20"/>
          <w:szCs w:val="20"/>
        </w:rPr>
        <w:t xml:space="preserve"> (“Enable Editing”): that's a Windows/Office safeguard on every internet download, not a Colvio setting. To avoid it daily, add your export folder to Excel's Trusted Locations.</w:t>
      </w:r>
    </w:p>
    <w:p>
      <w:r>
        <w:br w:type="page"/>
      </w:r>
    </w:p>
    <w:p>
      <w:pPr>
        <w:pStyle w:val="Heading1"/>
      </w:pPr>
      <w:r>
        <w:t xml:space="preserve">10. Troubleshooting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Symptom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Explanation &amp; fix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“Session expired”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D365 session timed out. Refresh the D365 tab (F5), then click Reconnect in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Rows fail with 404 in UPDATE mode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By design: the key matches no record and UPDATE never creates. Use UPSERT to create.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“Lookup not found / check failed”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value couldn't be resolved. The row follows your fallback (Skip/Null/Error). Check the lookup's D365 key field.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Unconverted option-set labels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CSV label doesn't exist in the OptionSet. Check exact labels in the Metadata Browser, or use numeric values.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Dataverse Service Protection throttling. Colvio retries automatically; if it persists, lower threads and batch size.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Unexpected PROD badge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badge maps the OrganizationType enum: production orgs report Customer or Secondary, and any unknown value is presumed PROD (fail-closed) — a spurious PROD badge costs one confirmation click, never the reverse.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Slow import on huge files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Raise to 8-10 threads and batch 500; as an admin, consider Speed boosters (validated data only).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asks to “Enable Editing”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Windows/Office Protected View on downloads — see section 9.</w:t>
            </w:r>
          </w:p>
        </w:tc>
      </w:tr>
    </w:tbl>
    <w:p>
      <w:pPr>
        <w:pStyle w:val="Heading1"/>
      </w:pPr>
      <w:r>
        <w:t xml:space="preserve">11. Keyboard shortcuts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Shortcut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Enter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 the query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Open the shortcuts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Esc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Close the active modal /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Double-click a cell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Inline edit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Training Guide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5ed38acfdc40f48ce4252597b2ee0cc5e379ef8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Training Guide</dc:title>
  <dc:creator>Colvio</dc:creator>
  <cp:lastModifiedBy>Un-named</cp:lastModifiedBy>
  <cp:revision>1</cp:revision>
  <dcterms:created xsi:type="dcterms:W3CDTF">2026-10-05T22:54:05.697Z</dcterms:created>
  <dcterms:modified xsi:type="dcterms:W3CDTF">2026-10-05T22:54:05.697Z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