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jc w:val="center"/>
      </w:pPr>
      <w:r>
        <w:rPr>
          <w:b/>
          <w:bCs/>
          <w:color w:val="5B3FD6"/>
          <w:sz w:val="72"/>
          <w:szCs w:val="72"/>
        </w:rPr>
        <w:t xml:space="preserve">Colvio</w:t>
      </w:r>
    </w:p>
    <w:p>
      <w:pPr>
        <w:spacing w:before="160"/>
        <w:jc w:val="center"/>
      </w:pPr>
      <w:r>
        <w:rPr>
          <w:b/>
          <w:bCs/>
          <w:color w:val="172B4D"/>
          <w:sz w:val="40"/>
          <w:szCs w:val="40"/>
        </w:rPr>
        <w:t xml:space="preserve">Guide de formation</w:t>
      </w:r>
    </w:p>
    <w:p>
      <w:pPr>
        <w:spacing w:before="120"/>
        <w:jc w:val="center"/>
      </w:pPr>
      <w:r>
        <w:rPr>
          <w:color w:val="6B778C"/>
          <w:sz w:val="26"/>
          <w:szCs w:val="26"/>
        </w:rPr>
        <w:t xml:space="preserve">Explorer, charger et auditer Dynamics 365 / Dataverse depuis le navigateur</w:t>
      </w:r>
    </w:p>
    <w:p>
      <w:pPr>
        <w:spacing w:before="600"/>
        <w:jc w:val="center"/>
      </w:pPr>
      <w:r>
        <w:rPr>
          <w:color w:val="6B778C"/>
          <w:sz w:val="22"/>
          <w:szCs w:val="22"/>
        </w:rPr>
        <w:t xml:space="preserve">v1.11.171  ·  Octobre 2026</w:t>
      </w:r>
    </w:p>
    <w:p>
      <w:r>
        <w:br w:type="page"/>
      </w:r>
    </w:p>
    <w:p>
      <w:pPr>
        <w:spacing w:after="200"/>
      </w:pPr>
      <w:r>
        <w:rPr>
          <w:b/>
          <w:bCs/>
          <w:sz w:val="30"/>
          <w:szCs w:val="30"/>
        </w:rPr>
        <w:t xml:space="preserve">Sommaire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Colvio est une extension Chrome </w:t>
      </w:r>
      <w:r>
        <w:rPr>
          <w:b/>
          <w:bCs/>
        </w:rPr>
        <w:t xml:space="preserve">gratuite et open-source</w:t>
      </w:r>
      <w:r>
        <w:t xml:space="preserve"> pour Microsoft Dynamics 365 / Dataverse. Elle s'appuie sur votre session navigateur existante : </w:t>
      </w:r>
      <w:r>
        <w:rPr>
          <w:b/>
          <w:bCs/>
        </w:rPr>
        <w:t xml:space="preserve">aucune clé API, aucun enregistrement d'application, aucun compte</w:t>
      </w:r>
      <w:r>
        <w:t xml:space="preserve">. Ouvrez une page D365, cliquez sur l'icône Colvio, et travaillez.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Zéro configuration</w:t>
      </w:r>
      <w:r>
        <w:t xml:space="preserve"> — l'authentification réutilise vos cookies de session D365.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Confidentialité totale</w:t>
      </w:r>
      <w:r>
        <w:t xml:space="preserve"> — aucune donnée ne quitte le navigateur : pas de télémétrie, pas de serveur tiers.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21 modules</w:t>
      </w:r>
      <w:r>
        <w:t xml:space="preserve"> couvrant l'exploration, la restauration, le chargement de données, le test d'API, la modélisation et l'audit.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</w:t>
      </w:r>
      <w:r>
        <w:rPr>
          <w:b/>
          <w:bCs/>
        </w:rPr>
        <w:t xml:space="preserve">EN / FR</w:t>
      </w:r>
      <w:r>
        <w:t xml:space="preserve">, thème sombre/clair, aide intégrée avec recherche.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362325"/>
            <wp:effectExtent t="0" r="0" b="0" l="0"/>
            <wp:docPr id="1" name="modules.png" descr="Colvio modules" title="Colvio 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💡 Capture d'écran recommandée ici : la barre latérale Colvio avec les 21 onglets, sur votre org de démo.</w:t>
      </w:r>
    </w:p>
    <w:p>
      <w:pPr>
        <w:pStyle w:val="Heading1"/>
      </w:pPr>
      <w:r>
        <w:t xml:space="preserve">2. Installation et premier lancement</w:t>
      </w:r>
    </w:p>
    <w:p>
      <w:pPr>
        <w:pStyle w:val="Heading2"/>
      </w:pPr>
      <w:r>
        <w:t xml:space="preserve">Installation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Depuis le </w:t>
      </w:r>
      <w:r>
        <w:rPr>
          <w:b/>
          <w:bCs/>
        </w:rPr>
        <w:t xml:space="preserve">Chrome Web Store</w:t>
      </w:r>
      <w:r>
        <w:t xml:space="preserve"> : recherchez « Colvio for Dynamics 365 » et cliquez Installer (ou depuis les sources 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npm install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npm run build</w:t>
      </w:r>
      <w:r>
        <w:t xml:space="preserve">, puis charger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dist/</w:t>
      </w:r>
      <w:r>
        <w:t xml:space="preserve"> via chrome://extensions en mode développeur).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Épinglez l'icône Colvio à la barre d'outils Chrome.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Ouvrez n'importe quelle page </w:t>
      </w:r>
      <w:r>
        <w:rPr>
          <w:b/>
          <w:bCs/>
        </w:rPr>
        <w:t xml:space="preserve">Dynamics 365</w:t>
      </w:r>
      <w:r>
        <w:t xml:space="preserve"> (votre org habituelle).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Cliquez sur l'icône Colvio : le panneau s'ouvre dans un nouvel onglet, déjà connecté à votre org.</w:t>
      </w:r>
    </w:p>
    <w:p>
      <w:pPr>
        <w:pStyle w:val="Heading2"/>
      </w:pPr>
      <w:r>
        <w:t xml:space="preserve">Badge d'environnement</w:t>
      </w:r>
    </w:p>
    <w:p>
      <w:pPr>
        <w:spacing w:after="120"/>
      </w:pPr>
      <w:r>
        <w:t xml:space="preserve">En haut du panneau, un badge indique l'environnement : </w:t>
      </w:r>
      <w:r>
        <w:rPr>
          <w:b/>
          <w:bCs/>
        </w:rPr>
        <w:t xml:space="preserve">⚠ PROD</w:t>
      </w:r>
      <w:r>
        <w:t xml:space="preserve"> (rouge) ou </w:t>
      </w:r>
      <w:r>
        <w:rPr>
          <w:b/>
          <w:bCs/>
        </w:rPr>
        <w:t xml:space="preserve">SANDBOX / UAT / DEV / TRIAL</w:t>
      </w:r>
      <w:r>
        <w:t xml:space="preserve"> (vert). Il est mappé sur l'enum OrganizationType DOCUMENTÉ de Microsoft : une org de production répond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Customer</w:t>
      </w:r>
      <w:r>
        <w:t xml:space="preserve"> ou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Secondary</w:t>
      </w:r>
      <w:r>
        <w:t xml:space="preserve"> — l'enum n'a pas de membre « Production » — et toute valeur inconnue est présumée production (fail-closed). Les confirmations PROD de Colvio (Loader, update/delete en masse, éditions) s'arment sur cette détection. Vérifiez toujours le badge avant un chargement.</w:t>
      </w:r>
    </w:p>
    <w:p>
      <w:pPr>
        <w:pStyle w:val="Heading2"/>
      </w:pPr>
      <w:r>
        <w:t xml:space="preserve">Onglets selon vos droits</w:t>
      </w:r>
    </w:p>
    <w:p>
      <w:pPr>
        <w:spacing w:after="120"/>
      </w:pPr>
      <w:r>
        <w:t xml:space="preserve">Au démarrage, Colvio sonde vos permissions et masque les onglets que vous ne pouvez pas utiliser (Security Audit, Login History, Users &amp; Licenses exigent des droits de lecture d'audit/utilisateurs ; les Speed boosters du Loader exigent System Administrator). Les droits sont </w:t>
      </w:r>
      <w:r>
        <w:rPr>
          <w:b/>
          <w:bCs/>
        </w:rPr>
        <w:t xml:space="preserve">toujours réappliqués côté serveur</w:t>
      </w:r>
      <w:r>
        <w:t xml:space="preserve"> par Dataverse : Colvio ne peut jamais dépasser vos rôles de sécurité.</w:t>
      </w:r>
    </w:p>
    <w:p>
      <w:r>
        <w:br w:type="page"/>
      </w:r>
    </w:p>
    <w:p>
      <w:pPr>
        <w:pStyle w:val="Heading1"/>
      </w:pPr>
      <w:r>
        <w:t xml:space="preserve">3. Data Explorer</w:t>
      </w:r>
    </w:p>
    <w:p>
      <w:pPr>
        <w:spacing w:after="120"/>
      </w:pPr>
      <w:r>
        <w:t xml:space="preserve">Le module central : interrogez n'importe quelle table de votre org avec l'un des </w:t>
      </w:r>
      <w:r>
        <w:rPr>
          <w:b/>
          <w:bCs/>
        </w:rPr>
        <w:t xml:space="preserve">4 modes de requête</w:t>
      </w:r>
      <w:r>
        <w:t xml:space="preserve">, puis triez, éditez et exportez les résultats.</w:t>
      </w:r>
    </w:p>
    <w:p>
      <w:pPr>
        <w:pStyle w:val="Heading2"/>
      </w:pPr>
      <w:r>
        <w:t xml:space="preserve">Les 4 modes de requête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Builder</w:t>
      </w:r>
      <w:r>
        <w:t xml:space="preserve"> — visuel : choix des colonnes, filtres WHERE en groupes ET/OU (14 opérateurs), $expand parents et enfants (avec filtres par expand), tri, limite.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OData</w:t>
      </w:r>
      <w:r>
        <w:t xml:space="preserve"> — l'URL brute, éditable directement.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FetchXML</w:t>
      </w:r>
      <w:r>
        <w:t xml:space="preserve"> — éditeur avec 3 modèles (simple, jointure, agrégation) et pagination par paging cookie.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</w:t>
      </w:r>
      <w:r>
        <w:t xml:space="preserve"> — écrivez du SQL familier, Colvio le traduit en FetchXML (voir ci-dessous).</w:t>
      </w:r>
    </w:p>
    <w:p>
      <w:pPr>
        <w:pStyle w:val="Heading2"/>
      </w:pPr>
      <w:r>
        <w:t xml:space="preserve">Travailler avec les résultats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Pagination automatique</w:t>
      </w:r>
      <w:r>
        <w:t xml:space="preserve"> sans plafond de 5 000 lignes, défilement virtuel fluide sur 10 000+ enregistrements.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Édition inline</w:t>
      </w:r>
      <w:r>
        <w:t xml:space="preserve"> — double-cliquez une cellule pour la modifier (PATCH direct).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Bulk update / bulk delete</w:t>
      </w:r>
      <w:r>
        <w:t xml:space="preserve"> sur sélection, avec confirmation tapée et pré-contrôle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CanBeDeleted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Requêtes sauvegardées</w:t>
      </w:r>
      <w:r>
        <w:t xml:space="preserve"> (20), </w:t>
      </w:r>
      <w:r>
        <w:rPr>
          <w:b/>
          <w:bCs/>
        </w:rPr>
        <w:t xml:space="preserve">historique</w:t>
      </w:r>
      <w:r>
        <w:t xml:space="preserve"> (20) et </w:t>
      </w:r>
      <w:r>
        <w:rPr>
          <w:b/>
          <w:bCs/>
        </w:rPr>
        <w:t xml:space="preserve">5 modèles</w:t>
      </w:r>
      <w:r>
        <w:t xml:space="preserve"> prêts à l'emploi.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Lookups cliquables (ouvre l'enregistrement dans D365), copie de l'URL OData.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</w:t>
      </w:r>
      <w:r>
        <w:rPr>
          <w:b/>
          <w:bCs/>
        </w:rPr>
        <w:t xml:space="preserve">CSV / XLSX / JSON</w:t>
      </w:r>
      <w:r>
        <w:t xml:space="preserve">.</w:t>
      </w:r>
    </w:p>
    <w:p>
      <w:pPr>
        <w:pStyle w:val="Heading2"/>
      </w:pPr>
      <w:r>
        <w:t xml:space="preserve">Mode SQL</w:t>
      </w:r>
    </w:p>
    <w:p>
      <w:pPr>
        <w:spacing w:after="120"/>
      </w:pPr>
      <w:r>
        <w:t xml:space="preserve">Deux moteurs, un toggle. </w:t>
      </w:r>
      <w:r>
        <w:rPr>
          <w:b/>
          <w:bCs/>
        </w:rPr>
        <w:t xml:space="preserve">⚡ Natif</w:t>
      </w:r>
      <w:r>
        <w:t xml:space="preserve"> (défaut) : votre SELECT part tel quel à Dataverse via l'option Web API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?sql=</w:t>
      </w:r>
      <w:r>
        <w:t xml:space="preserve"> — le serveur le parse : JOIN multi-tables avec alias, self-joins, DISTINCT, GROUP BY et agrégats côté serveur, dates relatives DATEADD/GETUTCDATE (pas de SELECT *, sous-requêtes, HAVING ni TOP ; agrégats plafonnés à 50 000). </w:t>
      </w:r>
      <w:r>
        <w:rPr>
          <w:b/>
          <w:bCs/>
        </w:rPr>
        <w:t xml:space="preserve">⇄ Transpilé</w:t>
      </w:r>
      <w:r>
        <w:t xml:space="preserve"> : Colvio traduit le SQL en FetchXML — seul moteur avec HAVING et TOP, et bascule automatique si l'org n'a pas encore l'option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SELECT name, revenue FROM account WHERE statecode = 0 ORDER BY revenue DESC TOP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SELECT a.name, c.fullname FROM account a JOIN contact c ON a.primarycontactid = c.contactid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bouton « View FetchXML » montre le XML généré — pratique pour apprendre FetchXML.</w:t>
      </w:r>
    </w:p>
    <w:p>
      <w:r>
        <w:br w:type="page"/>
      </w:r>
    </w:p>
    <w:p>
      <w:pPr>
        <w:pStyle w:val="Heading1"/>
      </w:pPr>
      <w:r>
        <w:t xml:space="preserve">4. API Tester</w:t>
      </w:r>
    </w:p>
    <w:p>
      <w:pPr>
        <w:spacing w:after="120"/>
      </w:pPr>
      <w:r>
        <w:t xml:space="preserve">Un client </w:t>
      </w:r>
      <w:r>
        <w:rPr>
          <w:b/>
          <w:bCs/>
        </w:rPr>
        <w:t xml:space="preserve">façon Postman</w:t>
      </w:r>
      <w:r>
        <w:t xml:space="preserve"> pour la Web API Dataverse, sans aucune configuration : l'authentification passe par votre session D365 active (pas d'OAuth, pas de secret client, pas de token à rafraîchir).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Méthodes </w:t>
      </w:r>
      <w:r>
        <w:rPr>
          <w:b/>
          <w:bCs/>
        </w:rPr>
        <w:t xml:space="preserve">GET / POST / PATCH / PUT / DELETE</w:t>
      </w:r>
      <w:r>
        <w:t xml:space="preserve"> sur un chemin relatif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accounts?$top=5</w:t>
      </w:r>
      <w:r>
        <w:t xml:space="preserve">) ou une URL complète de la même org (l'hôte est re-validé : impossible d'appeler un autre domaine).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Autocomplétion des headers</w:t>
      </w:r>
      <w:r>
        <w:t xml:space="preserve"> Dataverse courants 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Prefer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If-Match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MSCRM.SuppressDuplicateDetection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MSCRM.BypassCustomPluginExecution</w:t>
      </w:r>
      <w:r>
        <w:t xml:space="preserve">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Éditeur de </w:t>
      </w:r>
      <w:r>
        <w:rPr>
          <w:b/>
          <w:bCs/>
        </w:rPr>
        <w:t xml:space="preserve">body JSON</w:t>
      </w:r>
      <w:r>
        <w:t xml:space="preserve"> avec numéros de ligne et validation en direct (l'erreur pointe la ligne exacte).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Réponse : statut, temps, taille, JSON formaté, onglet headers.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Templates</w:t>
      </w:r>
      <w:r>
        <w:t xml:space="preserve"> : WhoAmI, CREATE, PATCH, UPSERT par alternate key, DELETE, RetrieveCurrentOrganization.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Historique</w:t>
      </w:r>
      <w:r>
        <w:t xml:space="preserve"> des 50 dernières requêtes (les headers sensibles comme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Authorization</w:t>
      </w:r>
      <w:r>
        <w:t xml:space="preserve"> sont masqués avant sauvegarde locale).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Copy as cURL</w:t>
      </w:r>
      <w:r>
        <w:t xml:space="preserve">, envoi par </w:t>
      </w:r>
      <w:r>
        <w:rPr>
          <w:b/>
          <w:bCs/>
        </w:rPr>
        <w:t xml:space="preserve">Ctrl/Cmd+Entrée</w:t>
      </w:r>
      <w:r>
        <w:t xml:space="preserve">, multi-onglets.</w:t>
      </w:r>
    </w:p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💡 Cas d'usage typiques : tester un appel avant de l'intégrer dans un plugin ou Power Automate, reproduire un ticket, vérifier le comportement d'un header MSCRM.</w:t>
      </w:r>
    </w:p>
    <w:p>
      <w:pPr>
        <w:pStyle w:val="Heading1"/>
      </w:pPr>
      <w:r>
        <w:t xml:space="preserve">5. Inspecter un enregistrement et les métadonnées</w:t>
      </w:r>
    </w:p>
    <w:p>
      <w:pPr>
        <w:pStyle w:val="Heading2"/>
      </w:pPr>
      <w:r>
        <w:t xml:space="preserve">Show All Data</w:t>
      </w:r>
    </w:p>
    <w:p>
      <w:pPr>
        <w:spacing w:after="120"/>
      </w:pPr>
      <w:r>
        <w:t xml:space="preserve">Détecte automatiquement l'enregistrement ouvert dans votre onglet D365 (ou collez une URL / un GUID) et affiche </w:t>
      </w:r>
      <w:r>
        <w:rPr>
          <w:b/>
          <w:bCs/>
        </w:rPr>
        <w:t xml:space="preserve">tous ses champs</w:t>
      </w:r>
      <w:r>
        <w:t xml:space="preserve"> : nom logique, libellé, type, valeur. Lookups cliquables, copie champ par champ ou JSON complet. Les champs modifiables s'éditent inline — </w:t>
      </w:r>
      <w:r>
        <w:rPr>
          <w:b/>
          <w:bCs/>
        </w:rPr>
        <w:t xml:space="preserve">lookups inclus</w:t>
      </w:r>
      <w:r>
        <w:t xml:space="preserve"> : collez le GUID cible pour lier/relier, videz pour effacer, le tout validé avant envoi (confirmation en production).</w:t>
      </w:r>
    </w:p>
    <w:p>
      <w:pPr>
        <w:pStyle w:val="Heading2"/>
      </w:pPr>
      <w:r>
        <w:t xml:space="preserve">Metadata Browser</w:t>
      </w:r>
    </w:p>
    <w:p>
      <w:pPr>
        <w:spacing w:after="120"/>
      </w:pPr>
      <w:r>
        <w:t xml:space="preserve">Parcourez entités, champs et OptionSets (valeur, libellé, description, couleur). </w:t>
      </w:r>
      <w:r>
        <w:rPr>
          <w:b/>
          <w:bCs/>
        </w:rPr>
        <w:t xml:space="preserve">Export CSV de tous les champs</w:t>
      </w:r>
      <w:r>
        <w:t xml:space="preserve"> d'une entité (nom logique, nom OData, type, requis, custom) — un dictionnaire de données instantané — et </w:t>
      </w:r>
      <w:r>
        <w:rPr>
          <w:b/>
          <w:bCs/>
        </w:rPr>
        <w:t xml:space="preserve">export de tous les OptionSets</w:t>
      </w:r>
      <w:r>
        <w:t xml:space="preserve">. Des </w:t>
      </w:r>
      <w:r>
        <w:rPr>
          <w:b/>
          <w:bCs/>
        </w:rPr>
        <w:t xml:space="preserve">chips Virtual / Elastic</w:t>
      </w:r>
      <w:r>
        <w:t xml:space="preserve"> filtrent par type de table (retrouvez toutes vos tables virtuelles d'un coup d'œil). C'est ici que vous vérifiez les libellés exacts d'une picklist avant un import par labels.</w:t>
      </w:r>
    </w:p>
    <w:p>
      <w:r>
        <w:br w:type="page"/>
      </w:r>
    </w:p>
    <w:p>
      <w:pPr>
        <w:pStyle w:val="Heading1"/>
      </w:pPr>
      <w:r>
        <w:t xml:space="preserve">6. Data Loader — charger des données en masse</w:t>
      </w:r>
    </w:p>
    <w:p>
      <w:pPr>
        <w:spacing w:after="120"/>
      </w:pPr>
      <w:r>
        <w:t xml:space="preserve">Le Data Loader importe des fichiers </w:t>
      </w:r>
      <w:r>
        <w:rPr>
          <w:b/>
          <w:bCs/>
        </w:rPr>
        <w:t xml:space="preserve">CSV, TSV ou Excel</w:t>
      </w:r>
      <w:r>
        <w:t xml:space="preserve"> dans n'importe quelle table, via un assistant en 5 étapes. Il est conçu pour des volumes importants (plusieurs centaines de milliers de lignes) avec un retour ligne par ligne en temps réel.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1657350"/>
            <wp:effectExtent t="0" r="0" b="0" l="0"/>
            <wp:docPr id="1" name="wizard.png" descr="Data Loader wizard" title="Data Loader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Étape 1 — Source</w:t>
      </w:r>
    </w:p>
    <w:p>
      <w:pPr>
        <w:spacing w:after="120"/>
      </w:pPr>
      <w:r>
        <w:t xml:space="preserve">Glissez-déposez un fichier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.csv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.tsv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.txt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.xlsx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.xls</w:t>
      </w:r>
      <w:r>
        <w:t xml:space="preserve">) ou collez directement depuis Excel. Le délimiteur est auto-détecté (virgule, tabulation, point-virgule) et le parseur respecte </w:t>
      </w:r>
      <w:r>
        <w:rPr>
          <w:b/>
          <w:bCs/>
        </w:rPr>
        <w:t xml:space="preserve">RFC-4180</w:t>
      </w:r>
      <w:r>
        <w:t xml:space="preserve"> : cellules entre guillemets, virgules et retours à la ligne dans les cellules, guillemets échappés. Les valeurs sont trimées et les zéros en tête préservés (codes SAP…).</w:t>
      </w:r>
    </w:p>
    <w:p>
      <w:pPr>
        <w:pStyle w:val="Heading2"/>
      </w:pPr>
      <w:r>
        <w:t xml:space="preserve">Étape 2 — Mapping et transforms</w:t>
      </w:r>
    </w:p>
    <w:p>
      <w:pPr>
        <w:spacing w:after="120"/>
      </w:pPr>
      <w:r>
        <w:t xml:space="preserve">Les colonnes du fichier s'auto-mappent aux champs D365 (correspondance par nom + champs courants). Les colonnes de type lookup sont détectées et </w:t>
      </w:r>
      <w:r>
        <w:rPr>
          <w:b/>
          <w:bCs/>
        </w:rPr>
        <w:t xml:space="preserve">routées vers l'étape Lookups</w:t>
      </w:r>
      <w:r>
        <w:t xml:space="preserve"> — jamais écrites en dur. Un avertissement signale les champs </w:t>
      </w:r>
      <w:r>
        <w:rPr>
          <w:b/>
          <w:bCs/>
        </w:rPr>
        <w:t xml:space="preserve">non inscriptibles</w:t>
      </w:r>
      <w:r>
        <w:t xml:space="preserve"> pour le mode choisi (calculés, rollup). Chaque colonne peut recevoir un transform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picklist / statecode</w:t>
      </w:r>
      <w:r>
        <w:t xml:space="preserve"> — accepte la valeur numérique </w:t>
      </w:r>
      <w:r>
        <w:rPr>
          <w:b/>
          <w:bCs/>
        </w:rPr>
        <w:t xml:space="preserve">ou le label</w:t>
      </w:r>
      <w:r>
        <w:t xml:space="preserve"> (« Chaud », « 3 - Hot ») : l'OptionSet est préchargé et les labels convertis ; les labels sans correspondance sont </w:t>
      </w:r>
      <w:r>
        <w:rPr>
          <w:b/>
          <w:bCs/>
        </w:rPr>
        <w:t xml:space="preserve">listés en fin d'import</w:t>
      </w:r>
      <w:r>
        <w:t xml:space="preserve"> au lieu d'être perdus.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 ISO</w:t>
      </w:r>
      <w:r>
        <w:t xml:space="preserve"> —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2026-06-13</w:t>
      </w:r>
      <w:r>
        <w:t xml:space="preserve"> inchangé (pas de décalage de fuseau),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13/06/2026</w:t>
      </w:r>
      <w:r>
        <w:t xml:space="preserve"> (EU),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12/31/2026</w:t>
      </w:r>
      <w:r>
        <w:t xml:space="preserve"> (US auto-détecté), avec heure optionnelle 24h ou AM/PM.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 / float</w:t>
      </w:r>
      <w:r>
        <w:t xml:space="preserve"> — locale gérée 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1 000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1,5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1.234,56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boolean / oui-non</w:t>
      </w:r>
      <w:r>
        <w:t xml:space="preserve">, MAJUSCULES / minuscules.</w:t>
      </w:r>
    </w:p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💾 </w:t>
      </w:r>
      <w:r>
        <w:rPr>
          <w:b/>
          <w:bCs/>
          <w:color w:val="6B778C"/>
          <w:sz w:val="20"/>
          <w:szCs w:val="20"/>
        </w:rPr>
        <w:t xml:space="preserve">Templates de mapping</w:t>
      </w:r>
      <w:r>
        <w:rPr>
          <w:color w:val="6B778C"/>
          <w:sz w:val="20"/>
          <w:szCs w:val="20"/>
        </w:rPr>
        <w:t xml:space="preserve"> : sauvegardez la configuration complète (mappings, lookups, clé, mode, perfs) et rechargez-la au prochain import de la même entité.</w:t>
      </w:r>
    </w:p>
    <w:p>
      <w:pPr>
        <w:pStyle w:val="Heading2"/>
      </w:pPr>
      <w:r>
        <w:t xml:space="preserve">Étape 3 — Parent Lookups</w:t>
      </w:r>
    </w:p>
    <w:p>
      <w:pPr>
        <w:spacing w:after="120"/>
      </w:pPr>
      <w:r>
        <w:t xml:space="preserve">Pour chaque relation parent, choisissez le </w:t>
      </w:r>
      <w:r>
        <w:rPr>
          <w:b/>
          <w:bCs/>
        </w:rPr>
        <w:t xml:space="preserve">mode</w:t>
      </w:r>
      <w:r>
        <w:t xml:space="preserve"> 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direct</w:t>
      </w:r>
      <w:r>
        <w:t xml:space="preserve"> (la colonne contient déjà le GUID),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resolve</w:t>
      </w:r>
      <w:r>
        <w:t xml:space="preserve"> (Colvio résout la valeur — ex. un email — vers le GUID via une requête par valeur unique), ou </w:t>
      </w:r>
      <w:r>
        <w:rPr>
          <w:b/>
          <w:bCs/>
        </w:rPr>
        <w:t xml:space="preserve">binding direct par alternate key</w:t>
      </w:r>
      <w:r>
        <w:t xml:space="preserve">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entityset(champ='valeur')</w:t>
      </w:r>
      <w:r>
        <w:t xml:space="preserve">, sans aucune requête de résolution — le plus rapide). En cas de non-correspondance, le </w:t>
      </w:r>
      <w:r>
        <w:rPr>
          <w:b/>
          <w:bCs/>
        </w:rPr>
        <w:t xml:space="preserve">fallback</w:t>
      </w:r>
      <w:r>
        <w:t xml:space="preserve"> que vous choisissez s'applique : Skip (ligne ignorée), Null (ligne chargée sans le lookup) ou Error.</w:t>
      </w:r>
    </w:p>
    <w:p>
      <w:pPr>
        <w:pStyle w:val="Heading2"/>
      </w:pPr>
      <w:r>
        <w:t xml:space="preserve">Étape 4 — Choisir le mode d'import</w:t>
      </w:r>
    </w:p>
    <w:p>
      <w:pPr>
        <w:spacing w:after="120"/>
      </w:pPr>
      <w:r>
        <w:t xml:space="preserve">Le choix le plus important de l'assistant. La clé (GUID ou </w:t>
      </w:r>
      <w:r>
        <w:rPr>
          <w:b/>
          <w:bCs/>
        </w:rPr>
        <w:t xml:space="preserve">alternate key</w:t>
      </w:r>
      <w:r>
        <w:t xml:space="preserve">) adresse l'enregistrement dans l'URL — elle n'est jamais dupliquée dans le body.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modes.png" descr="The 4 import modes" title="The 4 import m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760"/>
        <w:gridCol w:w="3762"/>
      </w:tblGrid>
      <w:tr>
        <w:trPr>
          <w:tblHeader/>
        </w:trPr>
        <w:tc>
          <w:tcPr>
            <w:tcW w:type="dxa" w:w="150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376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 qu'il fait</w:t>
            </w:r>
          </w:p>
        </w:tc>
        <w:tc>
          <w:tcPr>
            <w:tcW w:type="dxa" w:w="376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À utiliser pour</w:t>
            </w:r>
          </w:p>
        </w:tc>
      </w:tr>
      <w:tr>
        <w:tc>
          <w:tcPr>
            <w:tcW w:type="dxa" w:w="150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</w:t>
            </w:r>
          </w:p>
        </w:tc>
        <w:tc>
          <w:tcPr>
            <w:tcW w:type="dxa" w:w="376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Chaque ligne devient un nouvel enregistrement (POST).</w:t>
            </w:r>
          </w:p>
        </w:tc>
        <w:tc>
          <w:tcPr>
            <w:tcW w:type="dxa" w:w="376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Reprise initiale, données neuves.</w:t>
            </w:r>
          </w:p>
        </w:tc>
      </w:tr>
      <w:tr>
        <w:tc>
          <w:tcPr>
            <w:tcW w:type="dxa" w:w="150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UPSERT</w:t>
            </w:r>
          </w:p>
        </w:tc>
        <w:tc>
          <w:tcPr>
            <w:tcW w:type="dxa" w:w="376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Match sur la clé : met à jour si trouvé, </w:t>
            </w:r>
            <w:r>
              <w:rPr>
                <w:b/>
                <w:bCs/>
                <w:sz w:val="20"/>
                <w:szCs w:val="20"/>
              </w:rPr>
              <w:t xml:space="preserve">crée sinon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376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Synchronisations répétées, migrations idempotentes.</w:t>
            </w:r>
          </w:p>
        </w:tc>
      </w:tr>
      <w:tr>
        <w:tc>
          <w:tcPr>
            <w:tcW w:type="dxa" w:w="150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</w:t>
            </w:r>
          </w:p>
        </w:tc>
        <w:tc>
          <w:tcPr>
            <w:tcW w:type="dxa" w:w="376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Strictement mise à jour : header natif </w:t>
            </w:r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If-Match: *</w:t>
            </w:r>
            <w:r>
              <w:rPr>
                <w:sz w:val="20"/>
                <w:szCs w:val="20"/>
              </w:rPr>
              <w:t xml:space="preserve"> sur chaque PATCH → </w:t>
            </w:r>
            <w:r>
              <w:rPr>
                <w:b/>
                <w:bCs/>
                <w:sz w:val="20"/>
                <w:szCs w:val="20"/>
              </w:rPr>
              <w:t xml:space="preserve">404 si absent, jamais de création</w:t>
            </w:r>
            <w:r>
              <w:rPr>
                <w:sz w:val="20"/>
                <w:szCs w:val="20"/>
              </w:rPr>
              <w:t xml:space="preserve">. Clé vide = erreur. Option « vérifier l'existence d'abord » en filet de sécurité.</w:t>
            </w:r>
          </w:p>
        </w:tc>
        <w:tc>
          <w:tcPr>
            <w:tcW w:type="dxa" w:w="376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Mises à jour de masse où toute création serait une erreur (ex. enrichir 400 000 contacts existants).</w:t>
            </w:r>
          </w:p>
        </w:tc>
      </w:tr>
      <w:tr>
        <w:tc>
          <w:tcPr>
            <w:tcW w:type="dxa" w:w="150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Supprime les enregistrements matchés sur la clé. Confirmation à taper.</w:t>
            </w:r>
          </w:p>
        </w:tc>
        <w:tc>
          <w:tcPr>
            <w:tcW w:type="dxa" w:w="376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Purges ciblées par clé métier, rollback d'un import.</w:t>
            </w:r>
          </w:p>
        </w:tc>
      </w:tr>
    </w:tbl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⚠️ En mode UPDATE, des lignes en échec 404 sont un </w:t>
      </w:r>
      <w:r>
        <w:rPr>
          <w:b/>
          <w:bCs/>
          <w:color w:val="6B778C"/>
          <w:sz w:val="20"/>
          <w:szCs w:val="20"/>
        </w:rPr>
        <w:t xml:space="preserve">comportement voulu</w:t>
      </w:r>
      <w:r>
        <w:rPr>
          <w:color w:val="6B778C"/>
          <w:sz w:val="20"/>
          <w:szCs w:val="20"/>
        </w:rPr>
        <w:t xml:space="preserve"> : la clé ne correspond à aucun enregistrement et rien n'est créé. Passez en UPSERT si la création est souhaitée.</w:t>
      </w:r>
    </w:p>
    <w:p>
      <w:pPr>
        <w:pStyle w:val="Heading2"/>
      </w:pPr>
      <w:r>
        <w:t xml:space="preserve">Étape 5 — Performance</w:t>
      </w:r>
    </w:p>
    <w:p>
      <w:pPr>
        <w:spacing w:after="120"/>
      </w:pPr>
      <w:r>
        <w:t xml:space="preserve">Les enregistrements partent en </w:t>
      </w:r>
      <w:r>
        <w:rPr>
          <w:b/>
          <w:bCs/>
        </w:rPr>
        <w:t xml:space="preserve">$batch multipart</w:t>
      </w:r>
      <w:r>
        <w:t xml:space="preserve"> avec un changeset par enregistrement : une ligne en erreur n'annule jamais les autres. Réglez </w:t>
      </w:r>
      <w:r>
        <w:rPr>
          <w:b/>
          <w:bCs/>
        </w:rPr>
        <w:t xml:space="preserve">taille de lot (1-500) × threads (1-10)</w:t>
      </w:r>
      <w:r>
        <w:t xml:space="preserve"> — par défaut 200 × 6 ≈ 3-4 000 enregistrements/seconde. Le throttling Dataverse (429) est retryé automatiquement en respectant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Retry-After</w:t>
      </w:r>
      <w:r>
        <w:t xml:space="preserve">. </w:t>
      </w:r>
      <w:r>
        <w:rPr>
          <w:b/>
          <w:bCs/>
        </w:rPr>
        <w:t xml:space="preserve">Annuler</w:t>
      </w:r>
      <w:r>
        <w:t xml:space="preserve"> stoppe tout, y compris les retries en attente : aucune écriture après l'annulation.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batch.png" descr="Bulk engine" title="Bulk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Speed boosters</w:t>
      </w:r>
      <w:r>
        <w:t xml:space="preserve"> (System Administrator uniquement) 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BypassCustomPluginExecution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SuppressDuplicateDetection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BypassSynchronousLogic</w:t>
      </w:r>
      <w:r>
        <w:t xml:space="preserve"> par enregistrement.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Peuvent multiplier le débit sur les entités très customisées — mais la logique métier serveur est sautée : réservez-les à des données déjà validées.</w:t>
      </w:r>
    </w:p>
    <w:p>
      <w:pPr>
        <w:pStyle w:val="Heading2"/>
      </w:pPr>
      <w:r>
        <w:t xml:space="preserve">Le log temps réel</w:t>
      </w:r>
    </w:p>
    <w:p>
      <w:pPr>
        <w:spacing w:after="120"/>
      </w:pPr>
      <w:r>
        <w:t xml:space="preserve">Pendant le run, chaque ligne s'affiche avec ses valeurs CSV et son statut </w:t>
      </w:r>
      <w:r>
        <w:rPr>
          <w:b/>
          <w:bCs/>
        </w:rPr>
        <w:t xml:space="preserve">Success / Failed</w:t>
      </w:r>
      <w:r>
        <w:t xml:space="preserve"> + le message d'erreur Dataverse exact. Après le run : cliquez une ligne pour voir la </w:t>
      </w:r>
      <w:r>
        <w:rPr>
          <w:b/>
          <w:bCs/>
        </w:rPr>
        <w:t xml:space="preserve">requête exacte envoyée</w:t>
      </w:r>
      <w:r>
        <w:t xml:space="preserve"> (méthode, URL, headers, body), exportez le log complet ou seulement les erreurs en CSV, et consultez la liste des labels d'option-set non convertis.</w:t>
      </w:r>
    </w:p>
    <w:p>
      <w:r>
        <w:br w:type="page"/>
      </w:r>
    </w:p>
    <w:p>
      <w:pPr>
        <w:pStyle w:val="Heading1"/>
      </w:pPr>
      <w:r>
        <w:t xml:space="preserve">6 bis. Filet de sécurité et nouveaux modules</w:t>
      </w:r>
    </w:p>
    <w:p>
      <w:pPr>
        <w:pStyle w:val="Heading2"/>
      </w:pPr>
      <w:r>
        <w:t xml:space="preserve">Dry run, Rollback, Delta</w:t>
      </w:r>
    </w:p>
    <w:p>
      <w:pPr>
        <w:spacing w:after="120"/>
      </w:pPr>
      <w:r>
        <w:t xml:space="preserve">Avant un chargement risqué : </w:t>
      </w:r>
      <w:r>
        <w:rPr>
          <w:b/>
          <w:bCs/>
        </w:rPr>
        <w:t xml:space="preserve">Dry run</w:t>
      </w:r>
      <w:r>
        <w:t xml:space="preserve"> simule tout l'import sans rien écrire et rapporte ligne par ligne ce qu'un vrai run ferait. Après un run de création : </w:t>
      </w:r>
      <w:r>
        <w:rPr>
          <w:b/>
          <w:bCs/>
        </w:rPr>
        <w:t xml:space="preserve">Rollback</w:t>
      </w:r>
      <w:r>
        <w:t xml:space="preserve"> supprime exactement les enregistrements créés (GUID capturés des réponses batch), confirmation tapée. Sur les synchros récurrentes : </w:t>
      </w:r>
      <w:r>
        <w:rPr>
          <w:b/>
          <w:bCs/>
        </w:rPr>
        <w:t xml:space="preserve">Delta mode</w:t>
      </w:r>
      <w:r>
        <w:t xml:space="preserve"> lit d'abord les valeurs actuelles et n'envoie que les champs réellement modifiés — les lignes inchangées sont sautées (statut UNCHANGED).</w:t>
      </w:r>
    </w:p>
    <w:p>
      <w:pPr>
        <w:pStyle w:val="Heading2"/>
      </w:pPr>
      <w:r>
        <w:t xml:space="preserve">Corbeille (Recycle Bin)</w:t>
      </w:r>
    </w:p>
    <w:p>
      <w:pPr>
        <w:spacing w:after="120"/>
      </w:pPr>
      <w:r>
        <w:t xml:space="preserve">Liste et </w:t>
      </w:r>
      <w:r>
        <w:rPr>
          <w:b/>
          <w:bCs/>
        </w:rPr>
        <w:t xml:space="preserve">restaure les enregistrements supprimés</w:t>
      </w:r>
      <w:r>
        <w:t xml:space="preserve"> (restauration serveur réelle, valeurs d'origine) quand l'option d'org « Conserver les enregistrements supprimés » est active (rétention 1-30 jours). Limitations Microsoft affichées dans le module : suppressions antérieures à l'activation, tables virtuelles/élastiques/composants, tables de plus de 600 colonnes, ordre des cascades, conflits de clés.</w:t>
      </w:r>
    </w:p>
    <w:p>
      <w:pPr>
        <w:pStyle w:val="Heading2"/>
      </w:pPr>
      <w:r>
        <w:t xml:space="preserve">Historique des modifications</w:t>
      </w:r>
    </w:p>
    <w:p>
      <w:pPr>
        <w:spacing w:after="120"/>
      </w:pPr>
      <w:r>
        <w:t xml:space="preserve">Dans Show All Data, chaque enregistrement a un panneau </w:t>
      </w:r>
      <w:r>
        <w:rPr>
          <w:b/>
          <w:bCs/>
        </w:rPr>
        <w:t xml:space="preserve">Historique</w:t>
      </w:r>
      <w:r>
        <w:t xml:space="preserve"> : timeline d'audit (qui, quand, action) et diff champ par champ (ancienne → nouvelle valeur). Nécessite l'audit activé (org + table).</w:t>
      </w:r>
    </w:p>
    <w:p>
      <w:pPr>
        <w:pStyle w:val="Heading2"/>
      </w:pPr>
      <w:r>
        <w:t xml:space="preserve">System Ops</w:t>
      </w:r>
    </w:p>
    <w:p>
      <w:pPr>
        <w:spacing w:after="120"/>
      </w:pPr>
      <w:r>
        <w:rPr>
          <w:b/>
          <w:bCs/>
        </w:rPr>
        <w:t xml:space="preserve">Jobs système</w:t>
      </w:r>
      <w:r>
        <w:t xml:space="preserve"> : filtres rapides (échoués, en attente, en cours), annulation/reprise en masse pour les admins — les jobs de maintenance plateforme ne sont pas annulables. </w:t>
      </w:r>
      <w:r>
        <w:rPr>
          <w:b/>
          <w:bCs/>
        </w:rPr>
        <w:t xml:space="preserve">Traces plug-ins</w:t>
      </w:r>
      <w:r>
        <w:t xml:space="preserve"> : exceptions en évidence, texte complet (plafond 10 Ko), export CSV ; purge auto ~24 h.</w:t>
      </w:r>
    </w:p>
    <w:p>
      <w:pPr>
        <w:pStyle w:val="Heading2"/>
      </w:pPr>
      <w:r>
        <w:t xml:space="preserve">Snapshot &amp; diff de schéma</w:t>
      </w:r>
    </w:p>
    <w:p>
      <w:pPr>
        <w:spacing w:after="120"/>
      </w:pPr>
      <w:r>
        <w:t xml:space="preserve">Dans le Metadata Browser (bouton ⇄) : exportez le schéma en JSON sur une org, chargez-le sur une autre, et obtenez le </w:t>
      </w:r>
      <w:r>
        <w:rPr>
          <w:b/>
          <w:bCs/>
        </w:rPr>
        <w:t xml:space="preserve">diff classé</w:t>
      </w:r>
      <w:r>
        <w:t xml:space="preserve"> (tables/colonnes manquantes, types différents) avec export CSV — idéal avant un déploiement DEV → UAT → PROD.</w:t>
      </w:r>
    </w:p>
    <w:p>
      <w:r>
        <w:br w:type="page"/>
      </w:r>
    </w:p>
    <w:p>
      <w:pPr>
        <w:pStyle w:val="Heading1"/>
      </w:pPr>
      <w:r>
        <w:t xml:space="preserve">7. Modéliser : schéma, relations, solutions, traductions</w:t>
      </w:r>
    </w:p>
    <w:p>
      <w:pPr>
        <w:pStyle w:val="Heading2"/>
      </w:pPr>
      <w:r>
        <w:t xml:space="preserve">Schema (ERD)</w:t>
      </w:r>
    </w:p>
    <w:p>
      <w:pPr>
        <w:spacing w:after="120"/>
      </w:pPr>
      <w:r>
        <w:t xml:space="preserve">Diagramme Entité-Relation interactif : ajoutez des entités au canevas, les cartes montrent les champs avec badges FK, des courbes relient chaque lookup à sa cible. Les relations </w:t>
      </w:r>
      <w:r>
        <w:rPr>
          <w:b/>
          <w:bCs/>
        </w:rPr>
        <w:t xml:space="preserve">N:N</w:t>
      </w:r>
      <w:r>
        <w:t xml:space="preserve"> se dessinent en pointillés entre les cartes. Glissez, zoomez, « + » ajoute les entités liées. Export </w:t>
      </w:r>
      <w:r>
        <w:rPr>
          <w:b/>
          <w:bCs/>
        </w:rPr>
        <w:t xml:space="preserve">PNG, SVG, Mermaid</w:t>
      </w:r>
      <w:r>
        <w:t xml:space="preserve"> — votre data model, prêt pour un wiki ou un deck.</w:t>
      </w:r>
    </w:p>
    <w:p>
      <w:pPr>
        <w:pStyle w:val="Heading2"/>
      </w:pPr>
      <w:r>
        <w:t xml:space="preserve">Relations</w:t>
      </w:r>
    </w:p>
    <w:p>
      <w:pPr>
        <w:spacing w:after="120"/>
      </w:pPr>
      <w:r>
        <w:t xml:space="preserve">Graphe des relations d'une entité : parents N:1, enfants 1:N, N:N. Les relations </w:t>
      </w:r>
      <w:r>
        <w:rPr>
          <w:b/>
          <w:bCs/>
        </w:rPr>
        <w:t xml:space="preserve">métier</w:t>
      </w:r>
      <w:r>
        <w:t xml:space="preserve"> s'affichent d'abord ; la plomberie système (createdby, owner, devise…) est masquée derrière un toggle. ↻ recharge depuis l'org (les métadonnées sont cachées 1 h). Profondeur 1-2, clic pour naviguer.</w:t>
      </w:r>
    </w:p>
    <w:p>
      <w:pPr>
        <w:pStyle w:val="Heading2"/>
      </w:pPr>
      <w:r>
        <w:t xml:space="preserve">Solutions</w:t>
      </w:r>
    </w:p>
    <w:p>
      <w:pPr>
        <w:spacing w:after="120"/>
      </w:pPr>
      <w:r>
        <w:t xml:space="preserve">Parcourez les solutions installées et leurs composants, résolus en noms lisibles (13 types : entités, attributs, vues, plugins, web resources, rôles…). Badges Managed/Unmanaged.</w:t>
      </w:r>
    </w:p>
    <w:p>
      <w:pPr>
        <w:pStyle w:val="Heading2"/>
      </w:pPr>
      <w:r>
        <w:t xml:space="preserve">Translations</w:t>
      </w:r>
    </w:p>
    <w:p>
      <w:pPr>
        <w:spacing w:after="120"/>
      </w:pPr>
      <w:r>
        <w:t xml:space="preserve">Affichez et éditez les libellés de champs dans toutes les langues installées, inline. Les champs non renommables sont verrouillés. Export/import CSV pour les traductions en masse, publication automatique.</w:t>
      </w:r>
    </w:p>
    <w:p>
      <w:pPr>
        <w:pStyle w:val="Heading1"/>
      </w:pPr>
      <w:r>
        <w:t xml:space="preserve">8. Modules d'administration</w:t>
      </w:r>
    </w:p>
    <w:p>
      <w:pPr>
        <w:pStyle w:val="Heading2"/>
      </w:pPr>
      <w:r>
        <w:t xml:space="preserve">Users &amp; Licenses</w:t>
      </w:r>
    </w:p>
    <w:p>
      <w:pPr>
        <w:spacing w:after="120"/>
      </w:pPr>
      <w:r>
        <w:t xml:space="preserve">Tous les utilisateurs avec Access Mode, CAL Type, BU, rôles de sécurité et </w:t>
      </w:r>
      <w:r>
        <w:rPr>
          <w:b/>
          <w:bCs/>
        </w:rPr>
        <w:t xml:space="preserve">dernière connexion</w:t>
      </w:r>
      <w:r>
        <w:t xml:space="preserve"> (via l'audit). Statistiques par type de licence, détection des licences inutilisées (désactivés, jamais connectés). Export CSV.</w:t>
      </w:r>
    </w:p>
    <w:p>
      <w:pPr>
        <w:pStyle w:val="Heading2"/>
      </w:pPr>
      <w:r>
        <w:t xml:space="preserve">Security Audit</w:t>
      </w:r>
    </w:p>
    <w:p>
      <w:pPr>
        <w:spacing w:after="120"/>
      </w:pPr>
      <w:r>
        <w:t xml:space="preserve">Tous les rôles de sécurité avec leurs privilèges en libellés lisibles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prvDeleteAccount</w:t>
      </w:r>
      <w:r>
        <w:t xml:space="preserve"> → « Delete · Account »), badges de profondeur (User / BU / Parent:Child / </w:t>
      </w:r>
      <w:r>
        <w:rPr>
          <w:b/>
          <w:bCs/>
        </w:rPr>
        <w:t xml:space="preserve">Org</w:t>
      </w:r>
      <w:r>
        <w:t xml:space="preserve"> en rouge), et plus de 30 privilèges sensibles signalés. Export CSV par rôle.</w:t>
      </w:r>
    </w:p>
    <w:p>
      <w:pPr>
        <w:pStyle w:val="Heading2"/>
      </w:pPr>
      <w:r>
        <w:t xml:space="preserve">Teams</w:t>
      </w:r>
    </w:p>
    <w:p>
      <w:pPr>
        <w:spacing w:after="120"/>
      </w:pPr>
      <w:r>
        <w:t xml:space="preserve">Toutes les teams de l'org par type (propriétaires, groupes Entra, access teams chargées à la demande) : les membres, et surtout les </w:t>
      </w:r>
      <w:r>
        <w:rPr>
          <w:b/>
          <w:bCs/>
        </w:rPr>
        <w:t xml:space="preserve">rôles de sécurité portés par la team</w:t>
      </w:r>
      <w:r>
        <w:t xml:space="preserve"> — hérités par chaque membre sans jamais apparaître sur sa fiche. C'est la réponse à « pourquoi cet utilisateur a-t-il ce droit ? ». Pour les teams Entra : Object ID du groupe copiable, et rappel que la composition se matérialise au prochain accès de l'utilisateur.</w:t>
      </w:r>
    </w:p>
    <w:p>
      <w:pPr>
        <w:pStyle w:val="Heading2"/>
      </w:pPr>
      <w:r>
        <w:t xml:space="preserve">Storage</w:t>
      </w:r>
    </w:p>
    <w:p>
      <w:pPr>
        <w:spacing w:after="120"/>
      </w:pPr>
      <w:r>
        <w:t xml:space="preserve">Où part votre capacité Dataverse : le nombre de lignes de </w:t>
      </w:r>
      <w:r>
        <w:rPr>
          <w:b/>
          <w:bCs/>
        </w:rPr>
        <w:t xml:space="preserve">chaque table</w:t>
      </w:r>
      <w:r>
        <w:t xml:space="preserve"> (instantané Dataverse de moins de 24 h — toute l'org en quelques secondes), classé et étiqueté Database / File / Log, les </w:t>
      </w:r>
      <w:r>
        <w:rPr>
          <w:b/>
          <w:bCs/>
        </w:rPr>
        <w:t xml:space="preserve">tables système qui grossissent en silence</w:t>
      </w:r>
      <w:r>
        <w:t xml:space="preserve"> avec l'action de nettoyage qui s'applique, et le </w:t>
      </w:r>
      <w:r>
        <w:rPr>
          <w:b/>
          <w:bCs/>
        </w:rPr>
        <w:t xml:space="preserve">stockage File par table en octets réels</w:t>
      </w:r>
      <w:r>
        <w:t xml:space="preserve"> (notes, colonnes File/Image, pièces jointes), calculé en arrière-plan. Les Go facturés restent consultables dans le centre d'admin Power Platform (Licensing → Dataverse) — le module y renvoie.</w:t>
      </w:r>
    </w:p>
    <w:p>
      <w:pPr>
        <w:pStyle w:val="Heading2"/>
      </w:pPr>
      <w:r>
        <w:t xml:space="preserve">Business Units &amp; Adoption</w:t>
      </w:r>
    </w:p>
    <w:p>
      <w:pPr>
        <w:spacing w:after="120"/>
      </w:pPr>
      <w:r>
        <w:t xml:space="preserve">Hiérarchie des business units en arbre ou en </w:t>
      </w:r>
      <w:r>
        <w:rPr>
          <w:b/>
          <w:bCs/>
        </w:rPr>
        <w:t xml:space="preserve">organigramme plein écran</w:t>
      </w:r>
      <w:r>
        <w:t xml:space="preserve"> (export PNG). Déplacement d'utilisateurs en masse — cochez, ou </w:t>
      </w:r>
      <w:r>
        <w:rPr>
          <w:b/>
          <w:bCs/>
        </w:rPr>
        <w:t xml:space="preserve">collez une liste d'emails</w:t>
      </w:r>
      <w:r>
        <w:t xml:space="preserve"> (sélection dans la BU affichée, ou recherche org entière pour déplacer VERS la BU) — avec la vérité sur les rôles annoncée avant confirmation. </w:t>
      </w:r>
      <w:r>
        <w:rPr>
          <w:b/>
          <w:bCs/>
        </w:rPr>
        <w:t xml:space="preserve">Adoption</w:t>
      </w:r>
      <w:r>
        <w:t xml:space="preserve"> : événements d'accès, DAU/WAU/MAU, taux par BU, inactivité, rapport PowerPoint en un clic.</w:t>
      </w:r>
    </w:p>
    <w:p>
      <w:pPr>
        <w:pStyle w:val="Heading2"/>
      </w:pPr>
      <w:r>
        <w:t xml:space="preserve">Login History</w:t>
      </w:r>
    </w:p>
    <w:p>
      <w:pPr>
        <w:spacing w:after="120"/>
      </w:pPr>
      <w:r>
        <w:t xml:space="preserve">Chronologie des accès par utilisateur (audit d'accès D365) : via l'application ou via les services web (API), jours actifs, dernier accès, export CSV/Excel — Dataverse n'a pas d'événement de déconnexion, donc pas de durée de session. Nécessite l'audit activé avec « Audit user access ».</w:t>
      </w:r>
    </w:p>
    <w:p>
      <w:pPr>
        <w:pStyle w:val="Heading1"/>
      </w:pPr>
      <w:r>
        <w:t xml:space="preserve">9. Exports et nommage des fichiers</w:t>
      </w:r>
    </w:p>
    <w:p>
      <w:pPr>
        <w:spacing w:after="120"/>
      </w:pPr>
      <w:r>
        <w:t xml:space="preserve">Tous les exports suivent la même convention de nommage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&lt;objet&gt;_&lt;YYYYMMDD&gt;.&lt;ext&gt;</w:t>
      </w:r>
      <w:r>
        <w:t xml:space="preserve"> — ex.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account_20260610.csv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contact_fields_20260610.csv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logs d'import ajoutent l'heure 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colvio_load_contact_20260610_103000.csv</w:t>
      </w:r>
      <w:r>
        <w:t xml:space="preserve"> — plusieurs runs le même jour ne s'écrasent pas.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cellules CSV sont protégées contre l'injection de formules ; les exports XLSX conservent de </w:t>
      </w:r>
      <w:r>
        <w:rPr>
          <w:b/>
          <w:bCs/>
        </w:rPr>
        <w:t xml:space="preserve">vraies cellules numériques</w:t>
      </w:r>
      <w:r>
        <w:t xml:space="preserve"> (SUM fonctionne).</w:t>
      </w:r>
    </w:p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ℹ️ Excel ouvre les fichiers téléchargés en </w:t>
      </w:r>
      <w:r>
        <w:rPr>
          <w:b/>
          <w:bCs/>
          <w:color w:val="6B778C"/>
          <w:sz w:val="20"/>
          <w:szCs w:val="20"/>
        </w:rPr>
        <w:t xml:space="preserve">Mode protégé</w:t>
      </w:r>
      <w:r>
        <w:rPr>
          <w:color w:val="6B778C"/>
          <w:sz w:val="20"/>
          <w:szCs w:val="20"/>
        </w:rPr>
        <w:t xml:space="preserve"> (« Activer la modification ») : c'est une protection Windows/Office sur tout téléchargement internet, pas un réglage Colvio. Pour l'éviter au quotidien, ajoutez votre dossier d'exports aux Emplacements approuvés d'Excel.</w:t>
      </w:r>
    </w:p>
    <w:p>
      <w:r>
        <w:br w:type="page"/>
      </w:r>
    </w:p>
    <w:p>
      <w:pPr>
        <w:pStyle w:val="Heading1"/>
      </w:pPr>
      <w:r>
        <w:t xml:space="preserve">10. Dépannage / 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642"/>
      </w:tblGrid>
      <w:tr>
        <w:trPr>
          <w:tblHeader/>
        </w:trP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Symptôme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Explication et solution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« Session expirée »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 session D365 a expiré. Rafraîchissez l'onglet D365 (F5) puis cliquez Reconnect dans Colvio.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Lignes en 404 en mode UPDATE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Comportement voulu : la clé ne matche aucun enregistrement et UPDATE ne crée jamais. Utilisez UPSERT pour créer.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« Lookup not found / check failed »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 valeur n'a pas pu être résolue. La ligne suit votre fallback (Skip/Null/Error). Vérifiez le champ clé D365 du lookup.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Labels d'option-set non convertis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Le label CSV n'existe pas dans l'OptionSet. Vérifiez les libellés exacts dans le Metadata Browser, ou utilisez les valeurs numériques.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HTTP 429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Throttling Dataverse (Service Protection). Colvio retry automatiquement ; si cela persiste, baissez threads et taille de lot.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Badge PROD inattendu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Le badge mappe l'enum OrganizationType : une prod répond Customer ou Secondary, et toute valeur inconnue est présumée PROD (fail-closed) — un badge PROD « en trop » coûte un clic de confirmation, jamais l'inverse.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Import lent sur de très gros fichiers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Montez à 8-10 threads et 500 de lot ; en tant qu'admin, envisagez les Speed boosters (données déjà validées uniquement).</w:t>
            </w:r>
          </w:p>
        </w:tc>
      </w:tr>
      <w:tr>
        <w:tc>
          <w:tcPr>
            <w:tcW w:type="dxa" w:w="338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Excel demande « Activer la modification »</w:t>
            </w:r>
          </w:p>
        </w:tc>
        <w:tc>
          <w:tcPr>
            <w:tcW w:type="dxa" w:w="564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Mode protégé Windows/Office sur les téléchargements — voir section 9.</w:t>
            </w:r>
          </w:p>
        </w:tc>
      </w:tr>
    </w:tbl>
    <w:p>
      <w:pPr>
        <w:pStyle w:val="Heading1"/>
      </w:pPr>
      <w:r>
        <w:t xml:space="preserve">11. Raccourcis clavier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rPr>
          <w:tblHeader/>
        </w:trPr>
        <w:tc>
          <w:tcPr>
            <w:tcW w:type="dxa" w:w="300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Raccourci</w:t>
            </w:r>
          </w:p>
        </w:tc>
        <w:tc>
          <w:tcPr>
            <w:tcW w:type="dxa" w:w="601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Ctrl/Cmd + Entrée</w:t>
            </w:r>
          </w:p>
        </w:tc>
        <w:tc>
          <w:tcPr>
            <w:tcW w:type="dxa" w:w="601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Exécuter la requête (Explorer, SQL, API Tester)</w:t>
            </w:r>
          </w:p>
        </w:tc>
      </w:tr>
      <w:tr>
        <w:tc>
          <w:tcPr>
            <w:tcW w:type="dxa" w:w="300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Ctrl + /</w:t>
            </w:r>
          </w:p>
        </w:tc>
        <w:tc>
          <w:tcPr>
            <w:tcW w:type="dxa" w:w="601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Ouvrir le panneau des raccourcis</w:t>
            </w:r>
          </w:p>
        </w:tc>
      </w:tr>
      <w:tr>
        <w:tc>
          <w:tcPr>
            <w:tcW w:type="dxa" w:w="300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Échap</w:t>
            </w:r>
          </w:p>
        </w:tc>
        <w:tc>
          <w:tcPr>
            <w:tcW w:type="dxa" w:w="601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Fermer la fenêtre / le panneau actif</w:t>
            </w:r>
          </w:p>
        </w:tc>
      </w:tr>
      <w:tr>
        <w:tc>
          <w:tcPr>
            <w:tcW w:type="dxa" w:w="300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Double-clic sur une cellule</w:t>
            </w:r>
          </w:p>
        </w:tc>
        <w:tc>
          <w:tcPr>
            <w:tcW w:type="dxa" w:w="601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Édition inline (Explorer)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jc w:val="center"/>
    </w:pPr>
    <w:r>
      <w:rPr>
        <w:color w:val="6B778C"/>
        <w:sz w:val="17"/>
        <w:szCs w:val="17"/>
      </w:rPr>
      <w:t xml:space="preserve">Colvio v1.11.171 — Guide de formation  —  </w:t>
    </w:r>
    <w:r>
      <w:rPr>
        <w:color w:val="6B778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5B3FD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5ed38acfdc40f48ce4252597b2ee0cc5e379ef8.png"/><Relationship Id="rId9" Type="http://schemas.openxmlformats.org/officeDocument/2006/relationships/image" Target="media/3ffcb1d015aa37b30e193b637472dc1a72faeeca.png"/><Relationship Id="rId10" Type="http://schemas.openxmlformats.org/officeDocument/2006/relationships/image" Target="media/bc037ab195c51b3ea870c9cebd8a96bab2bb223f.png"/><Relationship Id="rId11" Type="http://schemas.openxmlformats.org/officeDocument/2006/relationships/image" Target="media/668625fd2e88d584f0e73a59937b95f5d49e8ed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Colvio — Guide de formation</dc:title>
  <dc:creator>Colvio</dc:creator>
  <cp:lastModifiedBy>Un-named</cp:lastModifiedBy>
  <cp:revision>1</cp:revision>
  <dcterms:created xsi:type="dcterms:W3CDTF">2026-10-06T15:20:49.428Z</dcterms:created>
  <dcterms:modified xsi:type="dcterms:W3CDTF">2026-10-06T15:20:49.428Z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