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21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458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39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 La logique à risque (préparation typée des écritures, filtres OData, historique) vit dans des modules purs testés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: relais de messages panel ↔ content script </w:t>
      </w:r>
      <w:r>
        <w:rPr>
          <w:b/>
          <w:bCs/>
        </w:rPr>
        <w:t xml:space="preserve">résilient à la mise en veille des onglets</w:t>
      </w:r>
      <w:r>
        <w:t xml:space="preserve"> (l'onglet D365 est épinglé non-endormissable, réveillé/ré-injecté au besoin, IDs remplacés suivis via tabs.onReplaced) avec </w:t>
      </w:r>
      <w:r>
        <w:rPr>
          <w:b/>
          <w:bCs/>
        </w:rPr>
        <w:t xml:space="preserve">garde d'origine</w:t>
      </w:r>
      <w:r>
        <w:t xml:space="preserve"> : une requête ne part jamais vers un onglet affichant un autre environnement.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73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10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filtres relationnels (nav-path parent + lambdas any()/not any()), pagination auto, virtual scrolling + barre horizontale collante, édition inline et bulk update TYPÉS par les métadonnées (lookups via @odata.bind), détecteur de doublons, bulk delete $batch avec ✕ Cancel, historique restaurant les requêtes Builder dans le Builder (valeurs expurgées — vie privée).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moteurs)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Natif : le SELECT part tel quel à Dataverse via l'option Web API ?sql= (JOIN multi-tables avec alias, self-joins, DISTINCT, GROUP BY serveur ; orgs sans l'option auto-détectées). Transpilé : 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seul moteur avec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interprétée, téléchargement .json/.txt.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$batch, coercition typée par métadonnées, auto-resume après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édition inline typée des champs, LOOKUPS inclus (lier/relier/effacer via @odata.bind, GUID validé) ; gestionnaire de BPF ; chips de filtre Virtual/Elastic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Inventaire statique des plug-in steps + processus (classification Microsoft/Managed/Custom) ; inventaire des apps model-driven (inférence include-all, badges EXPLICIT/IMPLICIT, inspecteur de vues, subgrids, recherche inversée).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Défauts + overrides typés (yes/no, JSON validé, nombres), piège NO VALUE compté, secrets = références Key Vault.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arêtes N:N pointillées dans l'ERD, relations métier d'abord dans le graphe (plomberie système derrière un toggle, ↻ vide-cache), exports PNG 2x / SVG / Mermaid ; snapshots JSON + diff classé entre orgs.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résolus (40+ types), comparaison intra-org et cross-org (fichier de compare, matching 2 passes) ; labels multilingues + export/import zip solution-wide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action Restore ; détection d'activation ; limitations MS affichées.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; asyncoperation (cancel/resume bulk), traces plug-ins (fenêtres rapides ~24 h), runs des cloud flows de solution (table flowrun).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+ matrice + vue org-wide, affectation de rôles en masse, audit logs. Onglets masqués sans droits.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Hiérarchie + organigramme plein écran (PNG), déplacement d'utilisateurs en masse (vérité sur les rôles annoncée), sélection par liste collée et déplacement VERS une BU par liste d'emails (recherche org entière) ; analytics d'adoption (agrégation serveur par jour, DAU/WAU/MAU, comptes de service séparés, rapport PowerPoint natif).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 propriétaires / groupes Entra / access teams (chargées à la demande, cap 500) : membres, rôles de sécurité portés (hérités par les membres sans apparaître sur l'utilisateur), Object ID Entra copiable, vérité de matérialisation paresseuse affichée. Lecture seule.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par table pour toute l'org via RetrieveTotalRecordCount (instantané Dataverse ≤ 24 h, quelques appels découpés par lots, dichotomie qui isole une table refusée) ; classe de stockage selon la répartition Microsoft (File / Log incl. tables élastiques / Database) ; octets de fichiers par table (agrégats sur notes, colonnes File/Image, pièces jointes) en arrière-plan avec découpage par période au-delà de 50 000 lignes. Les Go facturés restent dans le centre d'admin (API à enregistrement d'application).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source de vérité du badge, mappé sur l'enum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(l'enum n'a PAS de membre « Production »),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essai. Valeur inconnue = présumée production (fail-closed : les confirmations PROD ne peuvent pas être désarmées par un type nouveau). L'heuristique hostname ne sert que de secours.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 En cas de quota storage atteint, le cache </w:t>
      </w:r>
      <w:r>
        <w:rPr>
          <w:b/>
          <w:bCs/>
        </w:rPr>
        <w:t xml:space="preserve">s'auto-évince</w:t>
      </w:r>
      <w:r>
        <w:t xml:space="preserve"> (autres orgs d'abord, puis org courante, puis repli mémoire) : une écriture de cache ne peut jamais faire échouer une fonctionnalité.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300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Audits successifs : 4 dimensions + revue 7 angles (juin 2026), audit chemins d'écriture (août), audit produit 8 lentilles (septembre), revue pré-publication (septembre)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Écritures typées centralisées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testé) : toute valeur saisie est convertie selon le type réel du champ et refusée lisiblement avant envoi — un texte dans un GUID/lookup ou un nombre mal saisi ne part jamais au serveur (et ne vide jamais un champ).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Garde d'origine du relais</w:t>
      </w:r>
      <w:r>
        <w:t xml:space="preserve"> : le panel déclare son org sur chaque requête ; le service worker refuse tout onglet affichant un autre environnement (et refuse une requête sans org déclarée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de l'historique</w:t>
      </w:r>
      <w:r>
        <w:t xml:space="preserve"> : les valeurs de filtre ne persistent jamais — $filter OData, littéraux SQL et values FetchXML expurgés avant stockage, et les entrées des versions antérieures sont nettoyées au chargement (scrub 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Confirmations PRODUCTION</w:t>
      </w:r>
      <w:r>
        <w:t xml:space="preserve"> sur toute surface destructrice (runs du Loader, update/delete en masse, éditions inline, déplacements de BU), armées par la vraie détection d'environnement.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(300)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Caps de rendu (500 lignes + bandeau honnête) sur les listes potentiellement énormes (membres de rôle/BU/team, utilisateurs, adoption) — sélection, filtres et exports couvrent toujours la liste complète.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458 tests Vitest</w:t>
      </w:r>
      <w:r>
        <w:t xml:space="preserve"> : parseur SQL (43), envDetect/sqlNative/teamUtils/relGraphUtils/loginHistoryUtils (badge d'environnement fail-closed, moteur SQL natif, Teams, classification des relations, canaux d'accès de l'audit), loaderUtils (transforms, parser RFC-4180, coercition typée), updateUtils/filterUtils/historyUtils (écritures, filtres, historique), adoption/BU/solutions/doublons, couverture i18n (chaque clé t() présente dans les deux locales). ESLint (règles vrais-bugs : no-undef, no-dupe-keys…) dans chaque passe pré-release.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commit sur main → build + tests + lint → zip → push GitHub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2026-10-06T15:20:49.208Z</dcterms:created>
  <dcterms:modified xsi:type="dcterms:W3CDTF">2026-10-06T15:20:49.209Z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