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Technical Specification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Dataverse integration, load engine, security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v1.11.171  ·  October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Manifest V3</w:t>
      </w:r>
      <w:r>
        <w:t xml:space="preserve"> Chrome extension (React 18 + Vite) for Microsoft Dynamics 365 / Dataverse. It ships 21 exploration, loading and audit modules with no backend at all: every request goes from the user's browser to their own org, authenticated by the existing session.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Lines of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~21 200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components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actions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73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Unit tests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458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Panel bundle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~996 KB (+ ~430 KB xlsx, ~373 KB pptxgen on demand)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Runtime dependencies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(lazy), pptxgenjs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Chrome permissions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Three isolated execution contexts communicate over Chrome messaging. The </w:t>
      </w:r>
      <w:r>
        <w:rPr>
          <w:b/>
          <w:bCs/>
        </w:rPr>
        <w:t xml:space="preserve">panel</w:t>
      </w:r>
      <w:r>
        <w:t xml:space="preserve"> (React) never touches Dataverse directly: every call relays through the </w:t>
      </w:r>
      <w:r>
        <w:rPr>
          <w:b/>
          <w:bCs/>
        </w:rPr>
        <w:t xml:space="preserve">service worker</w:t>
      </w:r>
      <w:r>
        <w:t xml:space="preserve"> (pure relay) to the </w:t>
      </w:r>
      <w:r>
        <w:rPr>
          <w:b/>
          <w:bCs/>
        </w:rPr>
        <w:t xml:space="preserve">content script</w:t>
      </w:r>
      <w:r>
        <w:t xml:space="preserve"> — the only privileged context — which performs the same-origin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session cookies.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Components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the React app: 39 components, one module = one tab. The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exposes the typed API and owns rate limiting (30 req/s), caching, and the bulk worker pools. Risky logic (typed write preparation, OData filters, history) lives in pure tested modules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filterUtils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historyUtils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loaderUtils</w:t>
      </w:r>
      <w:r>
        <w:t xml:space="preserve">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service worker: panel ↔ content-script relay, </w:t>
      </w:r>
      <w:r>
        <w:rPr>
          <w:b/>
          <w:bCs/>
        </w:rPr>
        <w:t xml:space="preserve">resilient to browser tab sleep</w:t>
      </w:r>
      <w:r>
        <w:t xml:space="preserve"> (the D365 tab is pinned non-discardable, woken/re-injected as needed, replaced ids tracked via tabs.onReplaced) with an </w:t>
      </w:r>
      <w:r>
        <w:rPr>
          <w:b/>
          <w:bCs/>
        </w:rPr>
        <w:t xml:space="preserve">origin guard</w:t>
      </w:r>
      <w:r>
        <w:t xml:space="preserve">: a request never goes to a tab showing a different environment. Rejects any message whose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isn't the 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injected on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: org context extraction, </w:t>
      </w:r>
      <w:r>
        <w:rPr>
          <w:b/>
          <w:bCs/>
        </w:rPr>
        <w:t xml:space="preserve">73 actions</w:t>
      </w:r>
      <w:r>
        <w:t xml:space="preserve"> (query, metadata, batch…), input validation (entity/field regexes, GUIDs, control-char stripping), $batch building, 429 back-off.</w:t>
      </w:r>
    </w:p>
    <w:p>
      <w:pPr>
        <w:pStyle w:val="Heading2"/>
      </w:pPr>
      <w:r>
        <w:t xml:space="preserve">Message protocol</w:t>
      </w:r>
    </w:p>
    <w:p>
      <w:pPr>
        <w:spacing w:after="120"/>
      </w:pPr>
      <w:r>
        <w:t xml:space="preserve">Request: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d365TabId, orgUrl}</w:t>
      </w:r>
      <w:r>
        <w:t xml:space="preserve">; response: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Bridge timeouts: 30 s standard, 10 min for bulk operations. Bulk chunks are capped at 500 records per message to stay under Chrome's 64 MB IPC limit.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401/403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signal surfaced to the UI (Reconnect button).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Bulk cancellation: the bridge sends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; the content script stops pending 429 retries and remaining chunks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at each run start).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One module = one React component mounted in its own ErrorBoundary (a crash never takes down other tabs).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Technical role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query modes (Builder/OData/FetchXML/SQL), relational filters (parent nav-paths + any()/not any() lambdas), auto-pagination, virtual scrolling + sticky horizontal scrollbar, metadata-TYPED inline edit and bulk update (lookups via @odata.bind), duplicate finder, $batch bulk delete with ✕ Cancel, history restoring Builder queries into the Builder (values redacted — privacy).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(2 engines)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Native: the SELECT goes straight to Dataverse via the Web API ?sql= option (multi-table JOINs with aliases, self-joins, DISTINCT, server-side GROUP BY; orgs without the option auto-detected). Transpiled: dedicated parser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 SELECT/JOIN/WHERE/GROUP BY → link-entity — the only engine with HAVING/TOP.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action: whitelisted methods, host validated twice, 60 s timeout, raw response (status/headers/body) returned unmodified, .json/.txt download.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See section 5 — parsing, transforms, 4 modes, $batch engine, metadata-typed coercion, auto-resume after timeout.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attributes; typed inline field editing, LOOKUPS included (link/relink/clear via @odata.bind, GUID-validated); BPF manager; Virtual/Elastic filter chips; data-dictionary and OptionSet CSV exports.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Automation / Apps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Static inventory of plug-in steps + processes (Microsoft/Managed/Custom classification); model-driven app inventory (include-all inference, EXPLICIT/IMPLICIT badges, view inspector, subgrids, reverse search).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Env Variables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Defaults + typed overrides (yes/no, validated JSON, numbers), NO VALUE trap counted, secrets = Key Vault references.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 / Schema diff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Custom SVG rendering (drag/zoom/pan), dashed N:N edges in the ERD, business relationships first in the graph (system plumbing behind a toggle, cache-clearing ↻), PNG 2x / SVG / Mermaid exports; JSON snapshots + ranked cross-org diff.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Components resolved (40+ types), intra-org and cross-org compare (compare file, two-pass matching); multilingual labels + solution-wide zip export/import (ExportTranslation).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Recycle Bin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FetchXML datasource='bin' + Restore action; enablement detection; MS limitations surfaced.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 History / System Ops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audits + RetrieveAuditDetails; asyncoperation (bulk cancel/resume), plug-in traces (quick ~24 h windows), solution cloud-flow runs (flowrun table).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Full systemusers pagination, per-role privileges + matrix + org-wide view, bulk role assignment, audit logs. Tabs hidden without rights.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Business Units / Adoption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Hierarchy + full-screen org chart (PNG), bulk user move (roles truth stated first), paste-a-list selection and move-INTO-a-BU by pasted email list (org-wide match); adoption analytics (server-side per-day aggregation, DAU/WAU/MAU, service accounts separated, native PowerPoint report).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Teams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Owner / Entra group / access teams (lazy-loaded, 500 cap): members, carried security roles (inherited by members without ever showing on the user), copiable Entra Object ID, lazy-materialization truth stated. Read-only.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Storage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Rows per table for the whole org via RetrieveTotalRecordCount (Dataverse snapshot ≤ 24 h, a few chunked calls, bisection isolating any refused table); storage class per Microsoft's split (File / Log incl. elastic tables / Database); file bytes per table (aggregates over notes, file/image columns, attachments) in the background with period bisection past 50,000 rows. Billed GB stay in the admin center (app-registration API).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Dataverse integration</w:t>
      </w:r>
    </w:p>
    <w:p>
      <w:pPr>
        <w:pStyle w:val="Heading2"/>
      </w:pPr>
      <w:r>
        <w:t xml:space="preserve">Context &amp; authentication</w:t>
      </w:r>
    </w:p>
    <w:p>
      <w:pPr>
        <w:spacing w:after="120"/>
      </w:pPr>
      <w:r>
        <w:t xml:space="preserve">The content script extracts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and the API version from the D365 page context. All calls are </w:t>
      </w:r>
      <w:r>
        <w:rPr>
          <w:b/>
          <w:bCs/>
        </w:rPr>
        <w:t xml:space="preserve">same-origin</w:t>
      </w:r>
      <w:r>
        <w:t xml:space="preserve">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Azure AD/Entra session cookies carry authentication. No token is ever extracted, stored or handled.</w:t>
      </w:r>
    </w:p>
    <w:p>
      <w:pPr>
        <w:pStyle w:val="Heading2"/>
      </w:pPr>
      <w:r>
        <w:t xml:space="preserve">Environment detection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provides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— the badge's source of truth, mapped on Microsoft's DOCUMENTED enum: a production org reports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(the enum has NO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Production</w:t>
      </w:r>
      <w:r>
        <w:t xml:space="preserve"> member),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CustomerTest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CustomerFreeTest</w:t>
      </w:r>
      <w:r>
        <w:t xml:space="preserve"> = sandbox,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TestDrive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Trial</w:t>
      </w:r>
      <w:r>
        <w:t xml:space="preserve"> = trial. Unknown values are presumed production (fail-closed: PROD confirmations can never be disarmed by a new type). The hostname heuristic is fallback only.</w:t>
      </w:r>
    </w:p>
    <w:p>
      <w:pPr>
        <w:pStyle w:val="Heading2"/>
      </w:pPr>
      <w:r>
        <w:t xml:space="preserve">Metadata cache</w:t>
      </w:r>
    </w:p>
    <w:p>
      <w:pPr>
        <w:spacing w:after="120"/>
      </w:pPr>
      <w:r>
        <w:t xml:space="preserve">Two tiers: in-memory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(persistent). Keys are </w:t>
      </w:r>
      <w:r>
        <w:rPr>
          <w:b/>
          <w:bCs/>
        </w:rPr>
        <w:t xml:space="preserve">org-prefixed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no cross-environment bleed. On storage-quota exhaustion the cache </w:t>
      </w:r>
      <w:r>
        <w:rPr>
          <w:b/>
          <w:bCs/>
        </w:rPr>
        <w:t xml:space="preserve">self-evicts</w:t>
      </w:r>
      <w:r>
        <w:t xml:space="preserve"> (other orgs first, then the current org, then in-memory fallback): a cache write can never break a feature.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Entities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Fields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required,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N:1 relationships, option values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(single resolution)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exact collection name (irregular plurals)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Data Loader engine</w:t>
      </w:r>
    </w:p>
    <w:p>
      <w:pPr>
        <w:pStyle w:val="Heading2"/>
      </w:pPr>
      <w:r>
        <w:t xml:space="preserve">Parsing (loaderUtils.js — unit-tested)</w:t>
      </w:r>
    </w:p>
    <w:p>
      <w:pPr>
        <w:spacing w:after="120"/>
      </w:pPr>
      <w:r>
        <w:t xml:space="preserve">Character-level </w:t>
      </w:r>
      <w:r>
        <w:rPr>
          <w:b/>
          <w:bCs/>
        </w:rPr>
        <w:t xml:space="preserve">RFC-4180</w:t>
      </w:r>
      <w:r>
        <w:t xml:space="preserve"> parser: quoted fields, embedded delimiters and line breaks, escaped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. Delimiter detection: an unquoted tab wins (Excel paste), else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count outside quotes. Excel files are read </w:t>
      </w:r>
      <w:r>
        <w:rPr>
          <w:b/>
          <w:bCs/>
        </w:rPr>
        <w:t xml:space="preserve">straight to rows</w:t>
      </w:r>
      <w:r>
        <w:t xml:space="preserve"> (sheet_to_json, no CSV round-trip). Values trimmed, leading zeros preserved (no numeric coercion).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applyTransform(value, transform, optionMap)</w:t>
      </w:r>
      <w:r>
        <w:t xml:space="preserve"> — pure, tested functions: picklist/statecode (label→value via preloaded OptionSet, </w:t>
      </w:r>
      <w:r>
        <w:rPr>
          <w:b/>
          <w:bCs/>
        </w:rPr>
        <w:t xml:space="preserve">label lookup before</w:t>
      </w:r>
      <w:r>
        <w:t xml:space="preserve"> strict numeric passthrough), date_iso (DateOnly verbatim, dd/mm/yyyy, US swap when month &gt; 12, 24h/AM-PM time → local→UTC ISO), locale-aware int/float (spaces/NBSP, decimal comma, thousands), EN/FR booleans. Unconverted labels are collected and surfaced after the run.</w:t>
      </w:r>
    </w:p>
    <w:p>
      <w:pPr>
        <w:pStyle w:val="Heading2"/>
      </w:pPr>
      <w:r>
        <w:t xml:space="preserve">The 4 modes</w:t>
      </w:r>
    </w:p>
    <w:p>
      <w:pPr>
        <w:spacing w:after="120"/>
      </w:pPr>
      <w:r>
        <w:t xml:space="preserve">The key (PK or single-attribute alternate key) addresses the record in the URL — never duplicated in the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strips it as defense). </w:t>
      </w:r>
      <w:r>
        <w:rPr>
          <w:b/>
          <w:bCs/>
        </w:rPr>
        <w:t xml:space="preserve">UPDATE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on every $batch PATCH </w:t>
      </w:r>
      <w:r>
        <w:rPr>
          <w:b/>
          <w:bCs/>
        </w:rPr>
        <w:t xml:space="preserve">and</w:t>
      </w:r>
      <w:r>
        <w:t xml:space="preserve"> on the serial fallback; empty-key rows rejected client-side; optional existence pre-check (OR queries of 80, GUID normalization on both sides, per-value fallback on 400, never a global abort). </w:t>
      </w:r>
      <w:r>
        <w:rPr>
          <w:b/>
          <w:bCs/>
        </w:rPr>
        <w:t xml:space="preserve">UPSERT</w:t>
      </w:r>
      <w:r>
        <w:t xml:space="preserve"> by alt-key: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 binding. </w:t>
      </w:r>
      <w:r>
        <w:rPr>
          <w:b/>
          <w:bCs/>
        </w:rPr>
        <w:t xml:space="preserve">DELETE</w:t>
      </w:r>
      <w:r>
        <w:t xml:space="preserve">: DELETE by key, same logging guarantees.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$batch engine</w:t>
      </w:r>
    </w:p>
    <w:p>
      <w:pPr>
        <w:spacing w:after="120"/>
      </w:pPr>
      <w:r>
        <w:t xml:space="preserve">The bridge chunks (≤500) across a worker pool (1-10, default 6). The content script builds the multipart: </w:t>
      </w:r>
      <w:r>
        <w:rPr>
          <w:b/>
          <w:bCs/>
        </w:rPr>
        <w:t xml:space="preserve">one changeset per record</w:t>
      </w:r>
      <w:r>
        <w:t xml:space="preserve"> (per-row atomicity, no batch rollback), If-Match/MSCRM headers injected per operation. Responses parsed by positional Content-ID → per-row log. 429: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retry (30 s cap, 4 attempts) at the $batch level </w:t>
      </w:r>
      <w:r>
        <w:rPr>
          <w:b/>
          <w:bCs/>
        </w:rPr>
        <w:t xml:space="preserve">and</w:t>
      </w:r>
      <w:r>
        <w:t xml:space="preserve"> inside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(resolutions, pre-checks).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Cancellation</w:t>
      </w:r>
    </w:p>
    <w:p>
      <w:pPr>
        <w:spacing w:after="120"/>
      </w:pPr>
      <w:r>
        <w:t xml:space="preserve">Three levels: the bridge pool stops dispatching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the content script receives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(run-scoped flag) which interrupts waiting 429 retries and remaining chunks,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the next run. Guarantee: </w:t>
      </w:r>
      <w:r>
        <w:rPr>
          <w:b/>
          <w:bCs/>
        </w:rPr>
        <w:t xml:space="preserve">no writes after cancel</w:t>
      </w:r>
      <w:r>
        <w:t xml:space="preserve">.</w:t>
      </w:r>
    </w:p>
    <w:p>
      <w:pPr>
        <w:pStyle w:val="Heading2"/>
      </w:pPr>
      <w:r>
        <w:t xml:space="preserve">Logging</w:t>
      </w:r>
    </w:p>
    <w:p>
      <w:pPr>
        <w:spacing w:after="120"/>
      </w:pPr>
      <w:r>
        <w:t xml:space="preserve">Two structures: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outside React — every row, O(1) memory per row) and a display buffer bounded at 300 entries (ring buffer, aggregated counters). Per-row details rebuild the exact request (same transforms + optionMaps as the send). Exports: full log, errors only, injection-protected CSV.</w:t>
      </w:r>
    </w:p>
    <w:p>
      <w:r>
        <w:br w:type="page"/>
      </w:r>
    </w:p>
    <w:p>
      <w:pPr>
        <w:pStyle w:val="Heading1"/>
      </w:pPr>
      <w:r>
        <w:t xml:space="preserve">6. Security</w:t>
      </w:r>
    </w:p>
    <w:p>
      <w:pPr>
        <w:spacing w:after="120"/>
      </w:pPr>
      <w:r>
        <w:t xml:space="preserve">Successive audits: 4 dimensions + 7-angle review (June 2026), write-path audit (August), 8-lens product audit (September), pre-publication review (September): </w:t>
      </w:r>
      <w:r>
        <w:rPr>
          <w:b/>
          <w:bCs/>
        </w:rPr>
        <w:t xml:space="preserve">0 open critical or high findings</w:t>
      </w:r>
      <w:r>
        <w:t xml:space="preserve">. All writes remain subject to server-side Dataverse roles.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egress</w:t>
      </w:r>
      <w:r>
        <w:t xml:space="preserve">: every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targets the user's own org; no analytics, telemetry, CDNs or external fonts.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Systematic content-script validation: entity/field regexes, GUIDs, control-char stripping in key values (anti-CRLF in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Tester: host re-validated after final URL assembly; history saved with </w:t>
      </w:r>
      <w:r>
        <w:rPr>
          <w:b/>
          <w:bCs/>
        </w:rPr>
        <w:t xml:space="preserve">secret headers redacted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exports: formula-injection prefix; XLSX: typed cells (strings are inert there).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MSCRM boosters gated on the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privilege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Explicit CSP on panel.html; non-enumerable content-script marker;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checked in the service worker.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Centralized typed writes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tested): every typed-in value is converted by the field's real type and refused readably before sending — text in a GUID/lookup or a mistyped number never reaches the server (and never silently clears a field).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Relay origin guard</w:t>
      </w:r>
      <w:r>
        <w:t xml:space="preserve">: the panel states its org on every request; the service worker refuses any tab showing a different environment (and refuses requests with no stated org — fail-closed).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History privacy</w:t>
      </w:r>
      <w:r>
        <w:t xml:space="preserve">: filter values never persist — OData $filter, SQL literals and FetchXML values are redacted before storage, and entries saved by older versions are scrubbed on load (idempotent upgrade scrub).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PRODUCTION confirmations</w:t>
      </w:r>
      <w:r>
        <w:t xml:space="preserve"> on every destructive surface (Loader runs, bulk update/delete, inline edits, BU moves), armed by the real environment detection.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rate-limit 30 req/s + 429 back-off; bulk worker pools (default 6; Dataverse allows 52 connections).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rendered rows regardless of volume); bounded live log (300) + full ref outside re-renders.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Lazy-loaded xlsx</w:t>
      </w:r>
      <w:r>
        <w:t xml:space="preserve">: panel ~490 KB; the ~430 KB xlsx chunk loads only on Excel drop/export.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Two-tier metadata cache; debounced searches; parallel OptionSet preloading.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 caps (500 rows + honest banner) on potentially huge lists (role/BU/team members, users, adoption) — selection, filters and exports still cover the full list.</w:t>
      </w:r>
    </w:p>
    <w:p>
      <w:pPr>
        <w:pStyle w:val="Heading1"/>
      </w:pPr>
      <w:r>
        <w:t xml:space="preserve">8. Build, tests &amp; release</w:t>
      </w:r>
    </w:p>
    <w:p>
      <w:pPr>
        <w:spacing w:after="120"/>
      </w:pPr>
      <w:r>
        <w:t xml:space="preserve">Vite (build &lt; 2 s) + post-build script (manifest/content/background copy, icons). </w:t>
      </w:r>
      <w:r>
        <w:rPr>
          <w:b/>
          <w:bCs/>
        </w:rPr>
        <w:t xml:space="preserve">458 Vitest tests</w:t>
      </w:r>
      <w:r>
        <w:t xml:space="preserve">: SQL parser (43), envDetect/sqlNative/teamUtils/relGraphUtils/loginHistoryUtils (fail-closed environment badge, native SQL engine, Teams, relationship classification, audit access channels), loaderUtils (transforms, RFC-4180 parser, typed coercion), updateUtils/filterUtils/historyUtils (writes, filters, history), adoption/BU/solutions/duplicates, i18n coverage (every t() key present in both locales). ESLint (real-bug rules: no-undef, no-dupe-keys…) in every pre-release 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loadable in Developer Mode; release zip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pack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Flow: commit on main → build + tests + lint → zip → GitHub push → Chrome Web Store upload.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kept in sync across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; exhaustive CHANGELOG.md.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Source code: github.com/zmissoum/colvio — MIT license.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v1.11.171 — Technical Specification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abd0e107395d77fd9fae8da01797b4dccb24248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Technical Specification</dc:title>
  <dc:creator>Colvio</dc:creator>
  <cp:lastModifiedBy>Un-named</cp:lastModifiedBy>
  <cp:revision>1</cp:revision>
  <dcterms:created xsi:type="dcterms:W3CDTF">2026-10-06T15:20:49.274Z</dcterms:created>
  <dcterms:modified xsi:type="dcterms:W3CDTF">2026-10-06T15:20:49.274Z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