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Guide de formation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Explorer, charger et auditer Dynamics 365 / Dataverse depuis le navigateur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v1.10.26  ·  Juin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gratuite et open-source</w:t>
      </w:r>
      <w:r>
        <w:t xml:space="preserve"> pour Microsoft Dynamics 365 / Dataverse. Elle s'appuie sur votre session navigateur existante : </w:t>
      </w:r>
      <w:r>
        <w:rPr>
          <w:b/>
          <w:bCs/>
        </w:rPr>
        <w:t xml:space="preserve">aucune clé API, aucun enregistrement d'application, aucun compte</w:t>
      </w:r>
      <w:r>
        <w:t xml:space="preserve">. Ouvrez une page D365, cliquez sur l'icône Colvio, et travaillez.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configuration</w:t>
      </w:r>
      <w:r>
        <w:t xml:space="preserve"> — l'authentification réutilise vos cookies de session D365.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totale</w:t>
      </w:r>
      <w:r>
        <w:t xml:space="preserve"> — aucune donnée ne quitte le navigateur : pas de télémétrie, pas de serveur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12 modules</w:t>
      </w:r>
      <w:r>
        <w:t xml:space="preserve"> couvrant l'exploration, le chargement de données, le test d'API et l'audit.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Interface </w:t>
      </w:r>
      <w:r>
        <w:rPr>
          <w:b/>
          <w:bCs/>
        </w:rPr>
        <w:t xml:space="preserve">EN / FR</w:t>
      </w:r>
      <w:r>
        <w:t xml:space="preserve">, thème sombre/clair, aide intégrée avec recherche.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028950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Capture d'écran recommandée ici : la barre latérale Colvio avec les 12 onglets, sur votre org de démo.</w:t>
      </w:r>
    </w:p>
    <w:p>
      <w:pPr>
        <w:pStyle w:val="Heading1"/>
      </w:pPr>
      <w:r>
        <w:t xml:space="preserve">2. Installation et premier lancement</w:t>
      </w:r>
    </w:p>
    <w:p>
      <w:pPr>
        <w:pStyle w:val="Heading2"/>
      </w:pPr>
      <w:r>
        <w:t xml:space="preserve">Installation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Depuis le </w:t>
      </w:r>
      <w:r>
        <w:rPr>
          <w:b/>
          <w:bCs/>
        </w:rPr>
        <w:t xml:space="preserve">Chrome Web Store</w:t>
      </w:r>
      <w:r>
        <w:t xml:space="preserve"> : recherchez « Colvio for Dynamics 365 » et cliquez Installer (ou depuis les sources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puis charger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en mode développeur).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Épinglez l'icône Colvio à la barre d'outils Chrome.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n'importe quelle page </w:t>
      </w:r>
      <w:r>
        <w:rPr>
          <w:b/>
          <w:bCs/>
        </w:rPr>
        <w:t xml:space="preserve">Dynamics 365</w:t>
      </w:r>
      <w:r>
        <w:t xml:space="preserve"> (votre org habituelle).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l'icône Colvio : le panneau s'ouvre dans un nouvel onglet, déjà connecté à votre org.</w:t>
      </w:r>
    </w:p>
    <w:p>
      <w:pPr>
        <w:pStyle w:val="Heading2"/>
      </w:pPr>
      <w:r>
        <w:t xml:space="preserve">Badge d'environnement</w:t>
      </w:r>
    </w:p>
    <w:p>
      <w:pPr>
        <w:spacing w:after="120"/>
      </w:pPr>
      <w:r>
        <w:t xml:space="preserve">En haut du panneau, un badge indique l'environnement : </w:t>
      </w:r>
      <w:r>
        <w:rPr>
          <w:b/>
          <w:bCs/>
        </w:rPr>
        <w:t xml:space="preserve">PROD</w:t>
      </w:r>
      <w:r>
        <w:t xml:space="preserve">, </w:t>
      </w:r>
      <w:r>
        <w:rPr>
          <w:b/>
          <w:bCs/>
        </w:rPr>
        <w:t xml:space="preserve">SANDBOX</w:t>
      </w:r>
      <w:r>
        <w:t xml:space="preserve">, </w:t>
      </w:r>
      <w:r>
        <w:rPr>
          <w:b/>
          <w:bCs/>
        </w:rPr>
        <w:t xml:space="preserve">UAT</w:t>
      </w:r>
      <w:r>
        <w:t xml:space="preserve">, </w:t>
      </w:r>
      <w:r>
        <w:rPr>
          <w:b/>
          <w:bCs/>
        </w:rPr>
        <w:t xml:space="preserve">DEV</w:t>
      </w:r>
      <w:r>
        <w:t xml:space="preserve">, </w:t>
      </w:r>
      <w:r>
        <w:rPr>
          <w:b/>
          <w:bCs/>
        </w:rPr>
        <w:t xml:space="preserve">TRIAL</w:t>
      </w:r>
      <w:r>
        <w:t xml:space="preserve">… Il provient de l'API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de Microsoft (champ OrganizationType) — la source la plus fiable — avec une heuristique d'URL en simple secours. Vérifiez-le toujours avant un chargement de données.</w:t>
      </w:r>
    </w:p>
    <w:p>
      <w:pPr>
        <w:pStyle w:val="Heading2"/>
      </w:pPr>
      <w:r>
        <w:t xml:space="preserve">Onglets selon vos droits</w:t>
      </w:r>
    </w:p>
    <w:p>
      <w:pPr>
        <w:spacing w:after="120"/>
      </w:pPr>
      <w:r>
        <w:t xml:space="preserve">Au démarrage, Colvio sonde vos permissions et masque les onglets que vous ne pouvez pas utiliser (Security Audit, Login History, Users &amp; Licenses exigent des droits de lecture d'audit/utilisateurs ; les Speed boosters du Loader exigent System Administrator). Les droits sont </w:t>
      </w:r>
      <w:r>
        <w:rPr>
          <w:b/>
          <w:bCs/>
        </w:rPr>
        <w:t xml:space="preserve">toujours réappliqués côté serveur</w:t>
      </w:r>
      <w:r>
        <w:t xml:space="preserve"> par Dataverse : Colvio ne peut jamais dépasser vos rôles de sécurité.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Le module central : interrogez n'importe quelle table de votre org avec l'un des </w:t>
      </w:r>
      <w:r>
        <w:rPr>
          <w:b/>
          <w:bCs/>
        </w:rPr>
        <w:t xml:space="preserve">4 modes de requête</w:t>
      </w:r>
      <w:r>
        <w:t xml:space="preserve">, puis triez, éditez et exportez les résultats.</w:t>
      </w:r>
    </w:p>
    <w:p>
      <w:pPr>
        <w:pStyle w:val="Heading2"/>
      </w:pPr>
      <w:r>
        <w:t xml:space="preserve">Les 4 modes de requête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visuel : choix des colonnes, filtres WHERE en groupes ET/OU (14 opérateurs), $expand parents et enfants (avec filtres par expand), tri,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l'URL brute, éditable directement.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éditeur avec 3 modèles (simple, jointure, agrégation) et pagination par paging cookie.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écrivez du SQL familier, Colvio le traduit en FetchXML (voir ci-dessous).</w:t>
      </w:r>
    </w:p>
    <w:p>
      <w:pPr>
        <w:pStyle w:val="Heading2"/>
      </w:pPr>
      <w:r>
        <w:t xml:space="preserve">Travailler avec les résultats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Pagination automatique</w:t>
      </w:r>
      <w:r>
        <w:t xml:space="preserve"> sans plafond de 5 000 lignes, défilement virtuel fluide sur 10 000+ enregistrements.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Édition inline</w:t>
      </w:r>
      <w:r>
        <w:t xml:space="preserve"> — double-cliquez une cellule pour la modifier (PATCH direct).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sur sélection, avec confirmation tapée et pré-contrôle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Requêtes sauvegardées</w:t>
      </w:r>
      <w:r>
        <w:t xml:space="preserve"> (20), </w:t>
      </w:r>
      <w:r>
        <w:rPr>
          <w:b/>
          <w:bCs/>
        </w:rPr>
        <w:t xml:space="preserve">historique</w:t>
      </w:r>
      <w:r>
        <w:t xml:space="preserve"> (20) et </w:t>
      </w:r>
      <w:r>
        <w:rPr>
          <w:b/>
          <w:bCs/>
        </w:rPr>
        <w:t xml:space="preserve">5 modèles</w:t>
      </w:r>
      <w:r>
        <w:t xml:space="preserve"> prêts à l'emploi.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Lookups cliquables (ouvre l'enregistrement dans D365), copie de l'URL OData.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Mode SQL</w:t>
      </w:r>
    </w:p>
    <w:p>
      <w:pPr>
        <w:spacing w:after="120"/>
      </w:pPr>
      <w:r>
        <w:t xml:space="preserve">Écrivez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JOIN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WHERE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ORDER BY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TOP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DISTINCT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GROUP BY</w:t>
      </w:r>
      <w:r>
        <w:t xml:space="preserve"> et les agrégats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COUNT(*)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AVG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MAX</w:t>
      </w:r>
      <w:r>
        <w:t xml:space="preserve">). La traduction en FetchXML garantit une pagination fiable et des jointures via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link-entity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bouton « View FetchXML » montre le XML généré — pratique pour apprendre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Un client </w:t>
      </w:r>
      <w:r>
        <w:rPr>
          <w:b/>
          <w:bCs/>
        </w:rPr>
        <w:t xml:space="preserve">façon Postman</w:t>
      </w:r>
      <w:r>
        <w:t xml:space="preserve"> pour la Web API Dataverse, sans aucune configuration : l'authentification passe par votre session D365 active (pas d'OAuth, pas de secret client, pas de token à rafraîchir).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Méthodes </w:t>
      </w:r>
      <w:r>
        <w:rPr>
          <w:b/>
          <w:bCs/>
        </w:rPr>
        <w:t xml:space="preserve">GET / POST / PATCH / PUT / DELETE</w:t>
      </w:r>
      <w:r>
        <w:t xml:space="preserve"> sur un chemin relatif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ou une URL complète de la même org (l'hôte est re-validé : impossible d'appeler un autre domaine).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Autocomplétion des headers</w:t>
      </w:r>
      <w:r>
        <w:t xml:space="preserve"> Dataverse courants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Éditeur de </w:t>
      </w:r>
      <w:r>
        <w:rPr>
          <w:b/>
          <w:bCs/>
        </w:rPr>
        <w:t xml:space="preserve">body JSON</w:t>
      </w:r>
      <w:r>
        <w:t xml:space="preserve"> avec numéros de ligne et validation en direct (l'erreur pointe la ligne exacte).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Réponse : statut, temps, taille, JSON formaté, onglet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 : WhoAmI, CREATE, PATCH, UPSERT par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Historique</w:t>
      </w:r>
      <w:r>
        <w:t xml:space="preserve"> des 50 dernières requêtes (les headers sensibles comme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sont masqués avant sauvegarde locale).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envoi par </w:t>
      </w:r>
      <w:r>
        <w:rPr>
          <w:b/>
          <w:bCs/>
        </w:rPr>
        <w:t xml:space="preserve">Ctrl/Cmd+Entrée</w:t>
      </w:r>
      <w:r>
        <w:t xml:space="preserve">, multi-onglets.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Cas d'usage typiques : tester un appel avant de l'intégrer dans un plugin ou Power Automate, reproduire un ticket, vérifier le comportement d'un header MSCRM.</w:t>
      </w:r>
    </w:p>
    <w:p>
      <w:pPr>
        <w:pStyle w:val="Heading1"/>
      </w:pPr>
      <w:r>
        <w:t xml:space="preserve">5. Inspecter un enregistrement et les métadonnées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Détecte automatiquement l'enregistrement ouvert dans votre onglet D365 (ou collez une URL / un GUID) et affiche </w:t>
      </w:r>
      <w:r>
        <w:rPr>
          <w:b/>
          <w:bCs/>
        </w:rPr>
        <w:t xml:space="preserve">tous ses champs</w:t>
      </w:r>
      <w:r>
        <w:t xml:space="preserve"> : nom logique, libellé, type, valeur. Lookups cliquables, copie champ par champ ou JSON complet.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Parcourez entités, champs et OptionSets (valeur, libellé, description, couleur). </w:t>
      </w:r>
      <w:r>
        <w:rPr>
          <w:b/>
          <w:bCs/>
        </w:rPr>
        <w:t xml:space="preserve">Export CSV de tous les champs</w:t>
      </w:r>
      <w:r>
        <w:t xml:space="preserve"> d'une entité (nom logique, nom OData, type, requis, custom) — un dictionnaire de données instantané — et </w:t>
      </w:r>
      <w:r>
        <w:rPr>
          <w:b/>
          <w:bCs/>
        </w:rPr>
        <w:t xml:space="preserve">export de tous les OptionSets</w:t>
      </w:r>
      <w:r>
        <w:t xml:space="preserve">. C'est ici que vous vérifiez les libellés exacts d'une picklist avant un import par labels.</w:t>
      </w:r>
    </w:p>
    <w:p>
      <w:r>
        <w:br w:type="page"/>
      </w:r>
    </w:p>
    <w:p>
      <w:pPr>
        <w:pStyle w:val="Heading1"/>
      </w:pPr>
      <w:r>
        <w:t xml:space="preserve">6. Data Loader — charger des données en masse</w:t>
      </w:r>
    </w:p>
    <w:p>
      <w:pPr>
        <w:spacing w:after="120"/>
      </w:pPr>
      <w:r>
        <w:t xml:space="preserve">Le Data Loader importe des fichiers </w:t>
      </w:r>
      <w:r>
        <w:rPr>
          <w:b/>
          <w:bCs/>
        </w:rPr>
        <w:t xml:space="preserve">CSV, TSV ou Excel</w:t>
      </w:r>
      <w:r>
        <w:t xml:space="preserve"> dans n'importe quelle table, via un assistant en 5 étapes. Il est conçu pour des volumes importants (plusieurs centaines de milliers de lignes) avec un retour ligne par ligne en temps réel.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Étape 1 — Source</w:t>
      </w:r>
    </w:p>
    <w:p>
      <w:pPr>
        <w:spacing w:after="120"/>
      </w:pPr>
      <w:r>
        <w:t xml:space="preserve">Glissez-déposez un fichier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ou collez directement depuis Excel. Le délimiteur est auto-détecté (virgule, tabulation, point-virgule) et le parseur respecte </w:t>
      </w:r>
      <w:r>
        <w:rPr>
          <w:b/>
          <w:bCs/>
        </w:rPr>
        <w:t xml:space="preserve">RFC-4180</w:t>
      </w:r>
      <w:r>
        <w:t xml:space="preserve"> : cellules entre guillemets, virgules et retours à la ligne dans les cellules, guillemets échappés. Les valeurs sont trimées et les zéros en tête préservés (codes SAP…).</w:t>
      </w:r>
    </w:p>
    <w:p>
      <w:pPr>
        <w:pStyle w:val="Heading2"/>
      </w:pPr>
      <w:r>
        <w:t xml:space="preserve">Étape 2 — Mapping et transforms</w:t>
      </w:r>
    </w:p>
    <w:p>
      <w:pPr>
        <w:spacing w:after="120"/>
      </w:pPr>
      <w:r>
        <w:t xml:space="preserve">Les colonnes du fichier s'auto-mappent aux champs D365 (correspondance par nom + champs courants). Les colonnes de type lookup sont détectées et </w:t>
      </w:r>
      <w:r>
        <w:rPr>
          <w:b/>
          <w:bCs/>
        </w:rPr>
        <w:t xml:space="preserve">routées vers l'étape Lookups</w:t>
      </w:r>
      <w:r>
        <w:t xml:space="preserve"> — jamais écrites en dur. Un avertissement signale les champs </w:t>
      </w:r>
      <w:r>
        <w:rPr>
          <w:b/>
          <w:bCs/>
        </w:rPr>
        <w:t xml:space="preserve">non inscriptibles</w:t>
      </w:r>
      <w:r>
        <w:t xml:space="preserve"> pour le mode choisi (calculés, rollup). Chaque colonne peut recevoir un transform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accepte la valeur numérique </w:t>
      </w:r>
      <w:r>
        <w:rPr>
          <w:b/>
          <w:bCs/>
        </w:rPr>
        <w:t xml:space="preserve">ou le label</w:t>
      </w:r>
      <w:r>
        <w:t xml:space="preserve"> (« Chaud », « 3 - Hot ») : l'OptionSet est préchargé et les labels convertis ; les labels sans correspondance sont </w:t>
      </w:r>
      <w:r>
        <w:rPr>
          <w:b/>
          <w:bCs/>
        </w:rPr>
        <w:t xml:space="preserve">listés en fin d'import</w:t>
      </w:r>
      <w:r>
        <w:t xml:space="preserve"> au lieu d'être perdus.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inchangé (pas de décalage de fuseau),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auto-détecté), avec heure optionnelle 24h ou AM/PM.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 gérée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oui-non</w:t>
      </w:r>
      <w:r>
        <w:t xml:space="preserve">, MAJUSCULES / minuscules.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Templates de mapping</w:t>
      </w:r>
      <w:r>
        <w:rPr>
          <w:color w:val="6B778C"/>
          <w:sz w:val="20"/>
          <w:szCs w:val="20"/>
        </w:rPr>
        <w:t xml:space="preserve"> : sauvegardez la configuration complète (mappings, lookups, clé, mode, perfs) et rechargez-la au prochain import de la même entité.</w:t>
      </w:r>
    </w:p>
    <w:p>
      <w:pPr>
        <w:pStyle w:val="Heading2"/>
      </w:pPr>
      <w:r>
        <w:t xml:space="preserve">Étape 3 — Parent Lookups</w:t>
      </w:r>
    </w:p>
    <w:p>
      <w:pPr>
        <w:spacing w:after="120"/>
      </w:pPr>
      <w:r>
        <w:t xml:space="preserve">Pour chaque relation parent, choisissez le </w:t>
      </w:r>
      <w:r>
        <w:rPr>
          <w:b/>
          <w:bCs/>
        </w:rPr>
        <w:t xml:space="preserve">mode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(la colonne contient déjà le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résout la valeur — ex. un email — vers le GUID via une requête par valeur unique), ou </w:t>
      </w:r>
      <w:r>
        <w:rPr>
          <w:b/>
          <w:bCs/>
        </w:rPr>
        <w:t xml:space="preserve">binding direct par alternate key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, sans aucune requête de résolution — le plus rapide). En cas de non-correspondance, le </w:t>
      </w:r>
      <w:r>
        <w:rPr>
          <w:b/>
          <w:bCs/>
        </w:rPr>
        <w:t xml:space="preserve">fallback</w:t>
      </w:r>
      <w:r>
        <w:t xml:space="preserve"> que vous choisissez s'applique : Skip (ligne ignorée), Null (ligne chargée sans le lookup) ou Error.</w:t>
      </w:r>
    </w:p>
    <w:p>
      <w:pPr>
        <w:pStyle w:val="Heading2"/>
      </w:pPr>
      <w:r>
        <w:t xml:space="preserve">Étape 4 — Choisir le mode d'import</w:t>
      </w:r>
    </w:p>
    <w:p>
      <w:pPr>
        <w:spacing w:after="120"/>
      </w:pPr>
      <w:r>
        <w:t xml:space="preserve">Le choix le plus important de l'assistant. La clé (GUID ou </w:t>
      </w:r>
      <w:r>
        <w:rPr>
          <w:b/>
          <w:bCs/>
        </w:rPr>
        <w:t xml:space="preserve">alternate key</w:t>
      </w:r>
      <w:r>
        <w:t xml:space="preserve">) adresse l'enregistrement dans l'URL — elle n'est jamais dupliquée dans le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utiliser pour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Chaque ligne devient un nouvel enregistrement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Reprise initiale, données neuves.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sur la clé : met à jour si trouvé, </w:t>
            </w:r>
            <w:r>
              <w:rPr>
                <w:b/>
                <w:bCs/>
                <w:sz w:val="20"/>
                <w:szCs w:val="20"/>
              </w:rPr>
              <w:t xml:space="preserve">crée sinon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Synchronisations répétées, migrations idempotentes.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Strictement mise à jour : header natif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sur chaque PATCH → </w:t>
            </w:r>
            <w:r>
              <w:rPr>
                <w:b/>
                <w:bCs/>
                <w:sz w:val="20"/>
                <w:szCs w:val="20"/>
              </w:rPr>
              <w:t xml:space="preserve">404 si absent, jamais de création</w:t>
            </w:r>
            <w:r>
              <w:rPr>
                <w:sz w:val="20"/>
                <w:szCs w:val="20"/>
              </w:rPr>
              <w:t xml:space="preserve">. Clé vide = erreur. Option « vérifier l'existence d'abord » en filet de sécurité.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Mises à jour de masse où toute création serait une erreur (ex. enrichir 400 000 contacts existants).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Supprime les enregistrements matchés sur la clé. Confirmation à taper.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Purges ciblées par clé métier, rollback d'un import.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En mode UPDATE, des lignes en échec 404 sont un </w:t>
      </w:r>
      <w:r>
        <w:rPr>
          <w:b/>
          <w:bCs/>
          <w:color w:val="6B778C"/>
          <w:sz w:val="20"/>
          <w:szCs w:val="20"/>
        </w:rPr>
        <w:t xml:space="preserve">comportement voulu</w:t>
      </w:r>
      <w:r>
        <w:rPr>
          <w:color w:val="6B778C"/>
          <w:sz w:val="20"/>
          <w:szCs w:val="20"/>
        </w:rPr>
        <w:t xml:space="preserve"> : la clé ne correspond à aucun enregistrement et rien n'est créé. Passez en UPSERT si la création est souhaitée.</w:t>
      </w:r>
    </w:p>
    <w:p>
      <w:pPr>
        <w:pStyle w:val="Heading2"/>
      </w:pPr>
      <w:r>
        <w:t xml:space="preserve">Étape 5 — Performance</w:t>
      </w:r>
    </w:p>
    <w:p>
      <w:pPr>
        <w:spacing w:after="120"/>
      </w:pPr>
      <w:r>
        <w:t xml:space="preserve">Les enregistrements partent en </w:t>
      </w:r>
      <w:r>
        <w:rPr>
          <w:b/>
          <w:bCs/>
        </w:rPr>
        <w:t xml:space="preserve">$batch multipart</w:t>
      </w:r>
      <w:r>
        <w:t xml:space="preserve"> avec un changeset par enregistrement : une ligne en erreur n'annule jamais les autres. Réglez </w:t>
      </w:r>
      <w:r>
        <w:rPr>
          <w:b/>
          <w:bCs/>
        </w:rPr>
        <w:t xml:space="preserve">taille de lot (1-500) × threads (1-10)</w:t>
      </w:r>
      <w:r>
        <w:t xml:space="preserve"> — par défaut 200 × 6 ≈ 3-4 000 enregistrements/seconde. Le throttling Dataverse (429) est retryé automatiquement en respectant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Annuler</w:t>
      </w:r>
      <w:r>
        <w:t xml:space="preserve"> stoppe tout, y compris les retries en attente : aucune écriture après l'annulation.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uniquement)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 par enregistrement.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Peuvent multiplier le débit sur les entités très customisées — mais la logique métier serveur est sautée : réservez-les à des données déjà validées.</w:t>
      </w:r>
    </w:p>
    <w:p>
      <w:pPr>
        <w:pStyle w:val="Heading2"/>
      </w:pPr>
      <w:r>
        <w:t xml:space="preserve">Le log temps réel</w:t>
      </w:r>
    </w:p>
    <w:p>
      <w:pPr>
        <w:spacing w:after="120"/>
      </w:pPr>
      <w:r>
        <w:t xml:space="preserve">Pendant le run, chaque ligne s'affiche avec ses valeurs CSV et son statut </w:t>
      </w:r>
      <w:r>
        <w:rPr>
          <w:b/>
          <w:bCs/>
        </w:rPr>
        <w:t xml:space="preserve">Success / Failed</w:t>
      </w:r>
      <w:r>
        <w:t xml:space="preserve"> + le message d'erreur Dataverse exact. Après le run : cliquez une ligne pour voir la </w:t>
      </w:r>
      <w:r>
        <w:rPr>
          <w:b/>
          <w:bCs/>
        </w:rPr>
        <w:t xml:space="preserve">requête exacte envoyée</w:t>
      </w:r>
      <w:r>
        <w:t xml:space="preserve"> (méthode, URL, headers, body), exportez le log complet ou seulement les erreurs en CSV, et consultez la liste des labels d'option-set non convertis.</w:t>
      </w:r>
    </w:p>
    <w:p>
      <w:r>
        <w:br w:type="page"/>
      </w:r>
    </w:p>
    <w:p>
      <w:pPr>
        <w:pStyle w:val="Heading1"/>
      </w:pPr>
      <w:r>
        <w:t xml:space="preserve">7. Modéliser : schéma, relations, solutions, traductions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Diagramme Entité-Relation interactif : ajoutez des entités au canevas, les cartes montrent les champs avec badges FK, des courbes relient chaque lookup à sa cible. Glissez, zoomez, « + » ajoute les entités liées. Export </w:t>
      </w:r>
      <w:r>
        <w:rPr>
          <w:b/>
          <w:bCs/>
        </w:rPr>
        <w:t xml:space="preserve">PNG, SVG, Mermaid</w:t>
      </w:r>
      <w:r>
        <w:t xml:space="preserve">.</w:t>
      </w:r>
    </w:p>
    <w:p>
      <w:pPr>
        <w:pStyle w:val="Heading2"/>
      </w:pPr>
      <w:r>
        <w:t xml:space="preserve">Relations</w:t>
      </w:r>
    </w:p>
    <w:p>
      <w:pPr>
        <w:spacing w:after="120"/>
      </w:pPr>
      <w:r>
        <w:t xml:space="preserve">Graphe des relations d'une entité : parents N:1, enfants 1:N, N:N. Profondeur 1-2, clic pour naviguer.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Parcourez les solutions installées et leurs composants, résolus en noms lisibles (13 types : entités, attributs, vues, plugins, web resources, rôles…). Badges Managed/Unmanaged.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Affichez et éditez les libellés de champs dans toutes les langues installées, inline. Les champs non renommables sont verrouillés. Export/import CSV pour les traductions en masse, publication automatique.</w:t>
      </w:r>
    </w:p>
    <w:p>
      <w:pPr>
        <w:pStyle w:val="Heading1"/>
      </w:pPr>
      <w:r>
        <w:t xml:space="preserve">8. Modules d'administration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Tous les utilisateurs avec Access Mode, CAL Type, BU, rôles de sécurité et </w:t>
      </w:r>
      <w:r>
        <w:rPr>
          <w:b/>
          <w:bCs/>
        </w:rPr>
        <w:t xml:space="preserve">dernière connexion</w:t>
      </w:r>
      <w:r>
        <w:t xml:space="preserve"> (via l'audit). Statistiques par type de licence, détection des licences inutilisées (désactivés, jamais connectés). Export CSV.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Tous les rôles de sécurité avec leurs privilèges en libellés lisibles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« Delete · Account »), badges de profondeur (User / BU / Parent:Child / </w:t>
      </w:r>
      <w:r>
        <w:rPr>
          <w:b/>
          <w:bCs/>
        </w:rPr>
        <w:t xml:space="preserve">Org</w:t>
      </w:r>
      <w:r>
        <w:t xml:space="preserve"> en rouge), et plus de 30 privilèges sensibles signalés. Export CSV par rôle.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Timeline de connexions/déconnexions par utilisateur (via l'audit D365), durées de session, répartition par type d'accès, export CSV. Nécessite l'audit activé avec « Audit user access ».</w:t>
      </w:r>
    </w:p>
    <w:p>
      <w:pPr>
        <w:pStyle w:val="Heading1"/>
      </w:pPr>
      <w:r>
        <w:t xml:space="preserve">9. Exports et nommage des fichiers</w:t>
      </w:r>
    </w:p>
    <w:p>
      <w:pPr>
        <w:spacing w:after="120"/>
      </w:pPr>
      <w:r>
        <w:t xml:space="preserve">Tous les exports suivent la même convention de nommage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&lt;objet&gt;_&lt;YYYYMMDD&gt;.&lt;ext&gt;</w:t>
      </w:r>
      <w:r>
        <w:t xml:space="preserve"> — ex.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logs d'import ajoutent l'heure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plusieurs runs le même jour ne s'écrasent pas.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cellules CSV sont protégées contre l'injection de formules ; les exports XLSX conservent de </w:t>
      </w:r>
      <w:r>
        <w:rPr>
          <w:b/>
          <w:bCs/>
        </w:rPr>
        <w:t xml:space="preserve">vraies cellules numériques</w:t>
      </w:r>
      <w:r>
        <w:t xml:space="preserve"> (SUM fonctionne).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ouvre les fichiers téléchargés en </w:t>
      </w:r>
      <w:r>
        <w:rPr>
          <w:b/>
          <w:bCs/>
          <w:color w:val="6B778C"/>
          <w:sz w:val="20"/>
          <w:szCs w:val="20"/>
        </w:rPr>
        <w:t xml:space="preserve">Mode protégé</w:t>
      </w:r>
      <w:r>
        <w:rPr>
          <w:color w:val="6B778C"/>
          <w:sz w:val="20"/>
          <w:szCs w:val="20"/>
        </w:rPr>
        <w:t xml:space="preserve"> (« Activer la modification ») : c'est une protection Windows/Office sur tout téléchargement internet, pas un réglage Colvio. Pour l'éviter au quotidien, ajoutez votre dossier d'exports aux Emplacements approuvés d'Excel.</w:t>
      </w:r>
    </w:p>
    <w:p>
      <w:r>
        <w:br w:type="page"/>
      </w:r>
    </w:p>
    <w:p>
      <w:pPr>
        <w:pStyle w:val="Heading1"/>
      </w:pPr>
      <w:r>
        <w:t xml:space="preserve">10. Dépannage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Symptôme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Explication et solution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Session expirée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session D365 a expiré. Rafraîchissez l'onglet D365 (F5) puis cliquez Reconnect dans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en 404 en mode UPDATE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Comportement voulu : la clé ne matche aucun enregistrement et UPDATE ne crée jamais. Utilisez UPSERT pour créer.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Lookup not found / check failed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valeur n'a pas pu être résolue. La ligne suit votre fallback (Skip/Null/Error). Vérifiez le champ clé D365 du lookup.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Labels d'option-set non convertis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label CSV n'existe pas dans l'OptionSet. Vérifiez les libellés exacts dans le Metadata Browser, ou utilisez les valeurs numériques.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Throttling Dataverse (Service Protection). Colvio retry automatiquement ; si cela persiste, baissez threads et taille de lot.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Badge PROD inattendu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badge vient de l'API OrganizationType. Si l'org est récente, re-cliquez l'icône Colvio depuis l'onglet D365.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Import lent sur de très gros fichiers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Montez à 8-10 threads et 500 de lot ; en tant qu'admin, envisagez les Speed boosters (données déjà validées uniquement).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demande « Activer la modification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 protégé Windows/Office sur les téléchargements — voir section 9.</w:t>
            </w:r>
          </w:p>
        </w:tc>
      </w:tr>
    </w:tbl>
    <w:p>
      <w:pPr>
        <w:pStyle w:val="Heading1"/>
      </w:pPr>
      <w:r>
        <w:t xml:space="preserve">11. Raccourcis clavier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Raccourci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Entrée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Exécuter la requête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Ouvrir le panneau des raccourcis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Échap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Fermer la fenêtre / le panneau actif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 sur une cellule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Édition inline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v1.10.26 — Guide de formation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b76733c902188c4729bc2c6fab8268521ba873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Guide de formation</dc:title>
  <dc:creator>Colvio</dc:creator>
  <cp:lastModifiedBy>Un-named</cp:lastModifiedBy>
  <cp:revision>1</cp:revision>
  <dcterms:created xsi:type="dcterms:W3CDTF">2026-06-11T18:04:10.659Z</dcterms:created>
  <dcterms:modified xsi:type="dcterms:W3CDTF">2026-06-11T18:04:10.659Z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