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jc w:val="center"/>
      </w:pPr>
      <w:r>
        <w:rPr>
          <w:b/>
          <w:bCs/>
          <w:color w:val="5B3FD6"/>
          <w:sz w:val="72"/>
          <w:szCs w:val="72"/>
        </w:rPr>
        <w:t xml:space="preserve">Colvio</w:t>
      </w:r>
    </w:p>
    <w:p>
      <w:pPr>
        <w:spacing w:before="160"/>
        <w:jc w:val="center"/>
      </w:pPr>
      <w:r>
        <w:rPr>
          <w:b/>
          <w:bCs/>
          <w:color w:val="172B4D"/>
          <w:sz w:val="40"/>
          <w:szCs w:val="40"/>
        </w:rPr>
        <w:t xml:space="preserve">Security &amp; Data-Handling Audit</w:t>
      </w:r>
    </w:p>
    <w:p>
      <w:pPr>
        <w:spacing w:before="120"/>
        <w:jc w:val="center"/>
      </w:pPr>
      <w:r>
        <w:rPr>
          <w:color w:val="6B778C"/>
          <w:sz w:val="26"/>
          <w:szCs w:val="26"/>
        </w:rPr>
        <w:t xml:space="preserve">Full audit report — scope, methodology, findings and resolutions</w:t>
      </w:r>
    </w:p>
    <w:p>
      <w:pPr>
        <w:spacing w:before="600"/>
        <w:jc w:val="center"/>
      </w:pPr>
      <w:r>
        <w:rPr>
          <w:color w:val="6B778C"/>
          <w:sz w:val="22"/>
          <w:szCs w:val="22"/>
        </w:rPr>
        <w:t xml:space="preserve">Audited through v1.11.7  ·  June 2026</w:t>
      </w:r>
    </w:p>
    <w:p>
      <w:r>
        <w:br w:type="page"/>
      </w:r>
    </w:p>
    <w:p>
      <w:pPr>
        <w:spacing w:after="200"/>
      </w:pPr>
      <w:r>
        <w:rPr>
          <w:b/>
          <w:bCs/>
          <w:sz w:val="30"/>
          <w:szCs w:val="30"/>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pPr>
      <w:r>
        <w:t xml:space="preserve">Colvio underwent a </w:t>
      </w:r>
      <w:r>
        <w:rPr>
          <w:b/>
          <w:bCs/>
        </w:rPr>
        <w:t xml:space="preserve">complete four-dimension audit</w:t>
      </w:r>
      <w:r>
        <w:t xml:space="preserve"> (security, D365 logic, data handling/privacy, code quality) followed by a </w:t>
      </w:r>
      <w:r>
        <w:rPr>
          <w:b/>
          <w:bCs/>
        </w:rPr>
        <w:t xml:space="preserve">seven-angle code review</w:t>
      </w:r>
      <w:r>
        <w:t xml:space="preserve"> of all changes. Result: </w:t>
      </w:r>
      <w:r>
        <w:rPr>
          <w:b/>
          <w:bCs/>
        </w:rPr>
        <w:t xml:space="preserve">zero open critical or high findings</w:t>
      </w:r>
      <w:r>
        <w:t xml:space="preserve">. Every issue identified during the audit was fixed and shipped (versions 1.10.16 through 1.10.25), each fix verified by the project's automated test suite (207 tests).</w:t>
      </w:r>
    </w:p>
    <w:p>
      <w:pPr>
        <w:pStyle w:val="ListParagraph"/>
        <w:numPr>
          <w:ilvl w:val="0"/>
          <w:numId w:val="2"/>
        </w:numPr>
        <w:spacing w:after="60"/>
      </w:pPr>
      <w:r>
        <w:rPr>
          <w:b/>
          <w:bCs/>
        </w:rPr>
        <w:t xml:space="preserve">No critical security vulnerabilities</w:t>
      </w:r>
      <w:r>
        <w:t xml:space="preserve"> were found at any point: no XSS, no token handling, no external data egress, no injection path reaching Dataverse unvalidated.</w:t>
      </w:r>
    </w:p>
    <w:p>
      <w:pPr>
        <w:pStyle w:val="ListParagraph"/>
        <w:numPr>
          <w:ilvl w:val="0"/>
          <w:numId w:val="2"/>
        </w:numPr>
        <w:spacing w:after="60"/>
      </w:pPr>
      <w:r>
        <w:t xml:space="preserve">The audit's HIGH findings were </w:t>
      </w:r>
      <w:r>
        <w:rPr>
          <w:b/>
          <w:bCs/>
        </w:rPr>
        <w:t xml:space="preserve">D365 correctness bugs</w:t>
      </w:r>
      <w:r>
        <w:t xml:space="preserve"> (not exploitable security flaws) — all fixed.</w:t>
      </w:r>
    </w:p>
    <w:p>
      <w:pPr>
        <w:pStyle w:val="ListParagraph"/>
        <w:numPr>
          <w:ilvl w:val="0"/>
          <w:numId w:val="2"/>
        </w:numPr>
        <w:spacing w:after="60"/>
      </w:pPr>
      <w:r>
        <w:t xml:space="preserve">The </w:t>
      </w:r>
      <w:r>
        <w:rPr>
          <w:b/>
          <w:bCs/>
        </w:rPr>
        <w:t xml:space="preserve">"zero data collection" claim was independently verified as true</w:t>
      </w:r>
      <w:r>
        <w:t xml:space="preserve">: every network request targets the user's own Dataverse org.</w:t>
      </w:r>
    </w:p>
    <w:p>
      <w:pPr>
        <w:pStyle w:val="Heading1"/>
      </w:pPr>
      <w:r>
        <w:t xml:space="preserve">2. Scope &amp; methodology</w:t>
      </w:r>
    </w:p>
    <w:p>
      <w:pPr>
        <w:spacing w:after="120"/>
      </w:pPr>
      <w:r>
        <w:t xml:space="preserve">Audited surface: the entire extension — content script (privileged), service worker, React panel (12 modules), bridge layer, storage, exports, and the Data Loader bulk engine.</w:t>
      </w:r>
    </w:p>
    <w:p>
      <w:pPr>
        <w:pStyle w:val="ListParagraph"/>
        <w:numPr>
          <w:ilvl w:val="0"/>
          <w:numId w:val="2"/>
        </w:numPr>
        <w:spacing w:after="60"/>
      </w:pPr>
      <w:r>
        <w:rPr>
          <w:b/>
          <w:bCs/>
        </w:rPr>
        <w:t xml:space="preserve">Dimension 1 — Security</w:t>
      </w:r>
      <w:r>
        <w:t xml:space="preserve">: injection paths (OData, CRLF in $batch, XSS), origin enforcement, permissions, messaging surface, secrets handling.</w:t>
      </w:r>
    </w:p>
    <w:p>
      <w:pPr>
        <w:pStyle w:val="ListParagraph"/>
        <w:numPr>
          <w:ilvl w:val="0"/>
          <w:numId w:val="2"/>
        </w:numPr>
        <w:spacing w:after="60"/>
      </w:pPr>
      <w:r>
        <w:rPr>
          <w:b/>
          <w:bCs/>
        </w:rPr>
        <w:t xml:space="preserve">Dimension 2 — D365 logic</w:t>
      </w:r>
      <w:r>
        <w:t xml:space="preserve">: Web API semantics (upsert/If-Match, alternate keys, EntitySetName, polymorphic lookups), Service Protection limits.</w:t>
      </w:r>
    </w:p>
    <w:p>
      <w:pPr>
        <w:pStyle w:val="ListParagraph"/>
        <w:numPr>
          <w:ilvl w:val="0"/>
          <w:numId w:val="2"/>
        </w:numPr>
        <w:spacing w:after="60"/>
      </w:pPr>
      <w:r>
        <w:rPr>
          <w:b/>
          <w:bCs/>
        </w:rPr>
        <w:t xml:space="preserve">Dimension 3 — Data handling &amp; privacy</w:t>
      </w:r>
      <w:r>
        <w:t xml:space="preserve">: egress verification, local persistence inventory, silent data-loss paths, export integrity.</w:t>
      </w:r>
    </w:p>
    <w:p>
      <w:pPr>
        <w:pStyle w:val="ListParagraph"/>
        <w:numPr>
          <w:ilvl w:val="0"/>
          <w:numId w:val="2"/>
        </w:numPr>
        <w:spacing w:after="60"/>
      </w:pPr>
      <w:r>
        <w:rPr>
          <w:b/>
          <w:bCs/>
        </w:rPr>
        <w:t xml:space="preserve">Dimension 4 — Code quality</w:t>
      </w:r>
      <w:r>
        <w:t xml:space="preserve">: error handling, React correctness, duplication, test coverage.</w:t>
      </w:r>
    </w:p>
    <w:p>
      <w:pPr>
        <w:pStyle w:val="ListParagraph"/>
        <w:numPr>
          <w:ilvl w:val="0"/>
          <w:numId w:val="2"/>
        </w:numPr>
        <w:spacing w:after="60"/>
      </w:pPr>
      <w:r>
        <w:t xml:space="preserve">Follow-up: a </w:t>
      </w:r>
      <w:r>
        <w:rPr>
          <w:b/>
          <w:bCs/>
        </w:rPr>
        <w:t xml:space="preserve">7-angle adversarial code review</w:t>
      </w:r>
      <w:r>
        <w:t xml:space="preserve"> (line-by-line, removed-behavior, cross-file tracing, reuse, simplification, efficiency, altitude) over every change shipped during the audit, with independent verification of each finding.</w:t>
      </w:r>
    </w:p>
    <w:p>
      <w:pPr>
        <w:pStyle w:val="Heading1"/>
      </w:pPr>
      <w:r>
        <w:t xml:space="preserve">3. Data flow &amp; egress verification</w:t>
      </w:r>
    </w:p>
    <w:p>
      <w:pPr>
        <w:spacing w:after="160" w:before="120"/>
        <w:jc w:val="center"/>
      </w:pPr>
      <w:r>
        <w:drawing>
          <wp:inline distT="0" distB="0" distL="0" distR="0">
            <wp:extent cx="6096000" cy="2771775"/>
            <wp:effectExtent t="0" r="0" b="0" l="0"/>
            <wp:docPr id="1" name="architecture.png" descr="Architecture"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771775"/>
                    </a:xfrm>
                    <a:prstGeom prst="rect">
                      <a:avLst/>
                    </a:prstGeom>
                  </pic:spPr>
                </pic:pic>
              </a:graphicData>
            </a:graphic>
          </wp:inline>
        </w:drawing>
      </w:r>
    </w:p>
    <w:p>
      <w:pPr>
        <w:spacing w:after="120"/>
      </w:pPr>
      <w:r>
        <w:t xml:space="preserve">Every </w:t>
      </w:r>
      <w:r>
        <w:rPr>
          <w:rFonts w:ascii="Consolas" w:cs="Consolas" w:eastAsia="Consolas" w:hAnsi="Consolas"/>
          <w:color w:val="0E7490"/>
          <w:sz w:val="19"/>
          <w:szCs w:val="19"/>
        </w:rPr>
        <w:t xml:space="preserve">fetch</w:t>
      </w:r>
      <w:r>
        <w:t xml:space="preserve"> in the codebase was enumerated and verified to target </w:t>
      </w:r>
      <w:r>
        <w:rPr>
          <w:rFonts w:ascii="Consolas" w:cs="Consolas" w:eastAsia="Consolas" w:hAnsi="Consolas"/>
          <w:color w:val="0E7490"/>
          <w:sz w:val="19"/>
          <w:szCs w:val="19"/>
        </w:rPr>
        <w:t xml:space="preserve">&lt;org&gt;.dynamics.com</w:t>
      </w:r>
      <w:r>
        <w:t xml:space="preserve"> with </w:t>
      </w:r>
      <w:r>
        <w:rPr>
          <w:rFonts w:ascii="Consolas" w:cs="Consolas" w:eastAsia="Consolas" w:hAnsi="Consolas"/>
          <w:color w:val="0E7490"/>
          <w:sz w:val="19"/>
          <w:szCs w:val="19"/>
        </w:rPr>
        <w:t xml:space="preserve">credentials:"same-origin"</w:t>
      </w:r>
      <w:r>
        <w:t xml:space="preserve">. There is </w:t>
      </w:r>
      <w:r>
        <w:rPr>
          <w:b/>
          <w:bCs/>
        </w:rPr>
        <w:t xml:space="preserve">no analytics, no telemetry, no error reporting service, no CDN, no external font or script</w:t>
      </w:r>
      <w:r>
        <w:t xml:space="preserve">. The only network destination is the user's own Dataverse org, authenticated by the existing browser session — no token is extracted or stored.</w:t>
      </w:r>
    </w:p>
    <w:p>
      <w:pPr>
        <w:pBdr>
          <w:left w:val="single" w:color="5B3FD6" w:sz="16" w:space="4"/>
        </w:pBdr>
        <w:shd w:fill="F7F8FA" w:val="clear"/>
        <w:spacing w:after="120"/>
      </w:pPr>
      <w:r>
        <w:rPr>
          <w:color w:val="6B778C"/>
          <w:sz w:val="20"/>
          <w:szCs w:val="20"/>
        </w:rPr>
        <w:t xml:space="preserve">Verified claim: "No data leaves your browser." — CONFIRMED at code level, all call sites reviewed.</w:t>
      </w:r>
    </w:p>
    <w:p>
      <w:pPr>
        <w:pStyle w:val="Heading1"/>
      </w:pPr>
      <w:r>
        <w:t xml:space="preserve">4. Defense in depth</w:t>
      </w:r>
    </w:p>
    <w:p>
      <w:pPr>
        <w:spacing w:after="160" w:before="120"/>
        <w:jc w:val="center"/>
      </w:pPr>
      <w:r>
        <w:drawing>
          <wp:inline distT="0" distB="0" distL="0" distR="0">
            <wp:extent cx="5905500" cy="2800350"/>
            <wp:effectExtent t="0" r="0" b="0" l="0"/>
            <wp:docPr id="1" name="security.png" descr="Defense in depth" title="Defense in dep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800350"/>
                    </a:xfrm>
                    <a:prstGeom prst="rect">
                      <a:avLst/>
                    </a:prstGeom>
                  </pic:spPr>
                </pic:pic>
              </a:graphicData>
            </a:graphic>
          </wp:inline>
        </w:drawing>
      </w:r>
    </w:p>
    <w:p>
      <w:pPr>
        <w:pStyle w:val="ListParagraph"/>
        <w:numPr>
          <w:ilvl w:val="0"/>
          <w:numId w:val="2"/>
        </w:numPr>
        <w:spacing w:after="60"/>
      </w:pPr>
      <w:r>
        <w:rPr>
          <w:b/>
          <w:bCs/>
        </w:rPr>
        <w:t xml:space="preserve">Input validation (content script)</w:t>
      </w:r>
      <w:r>
        <w:t xml:space="preserve"> — entity and field names regex-validated; GUIDs format-checked; control characters stripped from key values, making the multipart $batch request line CRLF-injection-proof.</w:t>
      </w:r>
    </w:p>
    <w:p>
      <w:pPr>
        <w:pStyle w:val="ListParagraph"/>
        <w:numPr>
          <w:ilvl w:val="0"/>
          <w:numId w:val="2"/>
        </w:numPr>
        <w:spacing w:after="60"/>
      </w:pPr>
      <w:r>
        <w:rPr>
          <w:b/>
          <w:bCs/>
        </w:rPr>
        <w:t xml:space="preserve">Same-org enforcement</w:t>
      </w:r>
      <w:r>
        <w:t xml:space="preserve"> — the API Tester validates the host when parsing the path and </w:t>
      </w:r>
      <w:r>
        <w:rPr>
          <w:b/>
          <w:bCs/>
        </w:rPr>
        <w:t xml:space="preserve">re-validates the final assembled URL</w:t>
      </w:r>
      <w:r>
        <w:t xml:space="preserve">; protocol-relative or backslash-normalized escapes are caught.</w:t>
      </w:r>
    </w:p>
    <w:p>
      <w:pPr>
        <w:pStyle w:val="ListParagraph"/>
        <w:numPr>
          <w:ilvl w:val="0"/>
          <w:numId w:val="2"/>
        </w:numPr>
        <w:spacing w:after="60"/>
      </w:pPr>
      <w:r>
        <w:rPr>
          <w:b/>
          <w:bCs/>
        </w:rPr>
        <w:t xml:space="preserve">Update-only guarantee</w:t>
      </w:r>
      <w:r>
        <w:t xml:space="preserve"> — UPDATE mode sends </w:t>
      </w:r>
      <w:r>
        <w:rPr>
          <w:rFonts w:ascii="Consolas" w:cs="Consolas" w:eastAsia="Consolas" w:hAnsi="Consolas"/>
          <w:color w:val="0E7490"/>
          <w:sz w:val="19"/>
          <w:szCs w:val="19"/>
        </w:rPr>
        <w:t xml:space="preserve">If-Match: *</w:t>
      </w:r>
      <w:r>
        <w:t xml:space="preserve"> on every PATCH (batch and serial fallback), rejects empty-key rows client-side, and offers an optional existence pre-check: no code path can create a record in UPDATE mode.</w:t>
      </w:r>
    </w:p>
    <w:p>
      <w:pPr>
        <w:pStyle w:val="ListParagraph"/>
        <w:numPr>
          <w:ilvl w:val="0"/>
          <w:numId w:val="2"/>
        </w:numPr>
        <w:spacing w:after="60"/>
      </w:pPr>
      <w:r>
        <w:rPr>
          <w:b/>
          <w:bCs/>
        </w:rPr>
        <w:t xml:space="preserve">Messaging surface</w:t>
      </w:r>
      <w:r>
        <w:t xml:space="preserve"> — the service worker rejects messages whose </w:t>
      </w:r>
      <w:r>
        <w:rPr>
          <w:rFonts w:ascii="Consolas" w:cs="Consolas" w:eastAsia="Consolas" w:hAnsi="Consolas"/>
          <w:color w:val="0E7490"/>
          <w:sz w:val="19"/>
          <w:szCs w:val="19"/>
        </w:rPr>
        <w:t xml:space="preserve">sender.id</w:t>
      </w:r>
      <w:r>
        <w:t xml:space="preserve"> differs from the extension; the content-script marker is non-enumerable (anti-fingerprinting).</w:t>
      </w:r>
    </w:p>
    <w:p>
      <w:pPr>
        <w:pStyle w:val="ListParagraph"/>
        <w:numPr>
          <w:ilvl w:val="0"/>
          <w:numId w:val="2"/>
        </w:numPr>
        <w:spacing w:after="60"/>
      </w:pPr>
      <w:r>
        <w:rPr>
          <w:b/>
          <w:bCs/>
        </w:rPr>
        <w:t xml:space="preserve">Privilege gating</w:t>
      </w:r>
      <w:r>
        <w:t xml:space="preserve"> — MSCRM bypass headers (speed boosters) are only exposed after a positive </w:t>
      </w:r>
      <w:r>
        <w:rPr>
          <w:rFonts w:ascii="Consolas" w:cs="Consolas" w:eastAsia="Consolas" w:hAnsi="Consolas"/>
          <w:color w:val="0E7490"/>
          <w:sz w:val="19"/>
          <w:szCs w:val="19"/>
        </w:rPr>
        <w:t xml:space="preserve">prvBypassCustomPlugins</w:t>
      </w:r>
      <w:r>
        <w:t xml:space="preserve"> (System Administrator) probe; Dataverse re-enforces server-side regardless.</w:t>
      </w:r>
    </w:p>
    <w:p>
      <w:pPr>
        <w:pStyle w:val="ListParagraph"/>
        <w:numPr>
          <w:ilvl w:val="0"/>
          <w:numId w:val="2"/>
        </w:numPr>
        <w:spacing w:after="60"/>
      </w:pPr>
      <w:r>
        <w:rPr>
          <w:b/>
          <w:bCs/>
        </w:rPr>
        <w:t xml:space="preserve">Export hygiene</w:t>
      </w:r>
      <w:r>
        <w:t xml:space="preserve"> — CSV cells are prefixed against spreadsheet formula injection; XLSX exports use typed cells (strings are inert in the xlsx format); filenames are deterministic (</w:t>
      </w:r>
      <w:r>
        <w:rPr>
          <w:rFonts w:ascii="Consolas" w:cs="Consolas" w:eastAsia="Consolas" w:hAnsi="Consolas"/>
          <w:color w:val="0E7490"/>
          <w:sz w:val="19"/>
          <w:szCs w:val="19"/>
        </w:rPr>
        <w:t xml:space="preserve">object_YYYYMMDD</w:t>
      </w:r>
      <w:r>
        <w:t xml:space="preserve">).</w:t>
      </w:r>
    </w:p>
    <w:p>
      <w:pPr>
        <w:pStyle w:val="ListParagraph"/>
        <w:numPr>
          <w:ilvl w:val="0"/>
          <w:numId w:val="2"/>
        </w:numPr>
        <w:spacing w:after="60"/>
      </w:pPr>
      <w:r>
        <w:rPr>
          <w:b/>
          <w:bCs/>
        </w:rPr>
        <w:t xml:space="preserve">Secrets</w:t>
      </w:r>
      <w:r>
        <w:t xml:space="preserve"> — API Tester history redacts </w:t>
      </w:r>
      <w:r>
        <w:rPr>
          <w:rFonts w:ascii="Consolas" w:cs="Consolas" w:eastAsia="Consolas" w:hAnsi="Consolas"/>
          <w:color w:val="0E7490"/>
          <w:sz w:val="19"/>
          <w:szCs w:val="19"/>
        </w:rPr>
        <w:t xml:space="preserve">Authorization</w:t>
      </w:r>
      <w:r>
        <w:t xml:space="preserve">, </w:t>
      </w:r>
      <w:r>
        <w:rPr>
          <w:rFonts w:ascii="Consolas" w:cs="Consolas" w:eastAsia="Consolas" w:hAnsi="Consolas"/>
          <w:color w:val="0E7490"/>
          <w:sz w:val="19"/>
          <w:szCs w:val="19"/>
        </w:rPr>
        <w:t xml:space="preserve">Cookie</w:t>
      </w:r>
      <w:r>
        <w:t xml:space="preserve"> and API-key headers before persisting; query history strips filter values.</w:t>
      </w:r>
    </w:p>
    <w:p>
      <w:r>
        <w:br w:type="page"/>
      </w:r>
    </w:p>
    <w:p>
      <w:pPr>
        <w:pStyle w:val="Heading1"/>
      </w:pPr>
      <w:r>
        <w:t xml:space="preserve">5. Findings &amp; resolutions</w:t>
      </w:r>
    </w:p>
    <w:p>
      <w:pPr>
        <w:spacing w:after="120"/>
      </w:pPr>
      <w:r>
        <w:t xml:space="preserve">All findings from both audit passes, with the version that shipped each fix. Severity reflects the original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3"/>
        <w:gridCol w:w="1196"/>
        <w:gridCol w:w="3479"/>
        <w:gridCol w:w="2827"/>
        <w:gridCol w:w="981"/>
      </w:tblGrid>
      <w:tr>
        <w:trPr>
          <w:tblHeader/>
        </w:trPr>
        <w:tc>
          <w:tcPr>
            <w:tcW w:type="dxa" w:w="543"/>
            <w:tcBorders>
              <w:top w:val="single" w:color="C9CED6" w:sz="1"/>
              <w:left w:val="single" w:color="C9CED6" w:sz="1"/>
              <w:bottom w:val="single" w:color="C9CED6" w:sz="1"/>
              <w:right w:val="single" w:color="C9CED6" w:sz="1"/>
            </w:tcBorders>
            <w:shd w:fill="EEEAFB" w:val="clear"/>
            <w:tcMar>
              <w:top w:type="dxa" w:w="60"/>
              <w:left w:type="dxa" w:w="110"/>
              <w:bottom w:type="dxa" w:w="60"/>
              <w:right w:type="dxa" w:w="110"/>
            </w:tcMar>
          </w:tcPr>
          <w:p>
            <w:r>
              <w:rPr>
                <w:b/>
                <w:bCs/>
                <w:sz w:val="20"/>
                <w:szCs w:val="20"/>
              </w:rPr>
              <w:t xml:space="preserve">#</w:t>
            </w:r>
          </w:p>
        </w:tc>
        <w:tc>
          <w:tcPr>
            <w:tcW w:type="dxa" w:w="1196"/>
            <w:tcBorders>
              <w:top w:val="single" w:color="C9CED6" w:sz="1"/>
              <w:left w:val="single" w:color="C9CED6" w:sz="1"/>
              <w:bottom w:val="single" w:color="C9CED6" w:sz="1"/>
              <w:right w:val="single" w:color="C9CED6" w:sz="1"/>
            </w:tcBorders>
            <w:shd w:fill="EEEAFB" w:val="clear"/>
            <w:tcMar>
              <w:top w:type="dxa" w:w="60"/>
              <w:left w:type="dxa" w:w="110"/>
              <w:bottom w:type="dxa" w:w="60"/>
              <w:right w:type="dxa" w:w="110"/>
            </w:tcMar>
          </w:tcPr>
          <w:p>
            <w:r>
              <w:rPr>
                <w:b/>
                <w:bCs/>
                <w:sz w:val="20"/>
                <w:szCs w:val="20"/>
              </w:rPr>
              <w:t xml:space="preserve">Severity</w:t>
            </w:r>
          </w:p>
        </w:tc>
        <w:tc>
          <w:tcPr>
            <w:tcW w:type="dxa" w:w="3479"/>
            <w:tcBorders>
              <w:top w:val="single" w:color="C9CED6" w:sz="1"/>
              <w:left w:val="single" w:color="C9CED6" w:sz="1"/>
              <w:bottom w:val="single" w:color="C9CED6" w:sz="1"/>
              <w:right w:val="single" w:color="C9CED6" w:sz="1"/>
            </w:tcBorders>
            <w:shd w:fill="EEEAFB" w:val="clear"/>
            <w:tcMar>
              <w:top w:type="dxa" w:w="60"/>
              <w:left w:type="dxa" w:w="110"/>
              <w:bottom w:type="dxa" w:w="60"/>
              <w:right w:type="dxa" w:w="110"/>
            </w:tcMar>
          </w:tcPr>
          <w:p>
            <w:r>
              <w:rPr>
                <w:b/>
                <w:bCs/>
                <w:sz w:val="20"/>
                <w:szCs w:val="20"/>
              </w:rPr>
              <w:t xml:space="preserve">Finding</w:t>
            </w:r>
          </w:p>
        </w:tc>
        <w:tc>
          <w:tcPr>
            <w:tcW w:type="dxa" w:w="2827"/>
            <w:tcBorders>
              <w:top w:val="single" w:color="C9CED6" w:sz="1"/>
              <w:left w:val="single" w:color="C9CED6" w:sz="1"/>
              <w:bottom w:val="single" w:color="C9CED6" w:sz="1"/>
              <w:right w:val="single" w:color="C9CED6" w:sz="1"/>
            </w:tcBorders>
            <w:shd w:fill="EEEAFB" w:val="clear"/>
            <w:tcMar>
              <w:top w:type="dxa" w:w="60"/>
              <w:left w:type="dxa" w:w="110"/>
              <w:bottom w:type="dxa" w:w="60"/>
              <w:right w:type="dxa" w:w="110"/>
            </w:tcMar>
          </w:tcPr>
          <w:p>
            <w:r>
              <w:rPr>
                <w:b/>
                <w:bCs/>
                <w:sz w:val="20"/>
                <w:szCs w:val="20"/>
              </w:rPr>
              <w:t xml:space="preserve">Resolution</w:t>
            </w:r>
          </w:p>
        </w:tc>
        <w:tc>
          <w:tcPr>
            <w:tcW w:type="dxa" w:w="981"/>
            <w:tcBorders>
              <w:top w:val="single" w:color="C9CED6" w:sz="1"/>
              <w:left w:val="single" w:color="C9CED6" w:sz="1"/>
              <w:bottom w:val="single" w:color="C9CED6" w:sz="1"/>
              <w:right w:val="single" w:color="C9CED6" w:sz="1"/>
            </w:tcBorders>
            <w:shd w:fill="EEEAFB" w:val="clear"/>
            <w:tcMar>
              <w:top w:type="dxa" w:w="60"/>
              <w:left w:type="dxa" w:w="110"/>
              <w:bottom w:type="dxa" w:w="60"/>
              <w:right w:type="dxa" w:w="110"/>
            </w:tcMar>
          </w:tcPr>
          <w:p>
            <w:r>
              <w:rPr>
                <w:b/>
                <w:bCs/>
                <w:sz w:val="20"/>
                <w:szCs w:val="20"/>
              </w:rPr>
              <w:t xml:space="preserve">Shipped</w:t>
            </w:r>
          </w:p>
        </w:tc>
      </w:tr>
      <w:tr>
        <w:tc>
          <w:tcPr>
            <w:tcW w:type="dxa" w:w="543"/>
            <w:tcBorders>
              <w:top w:val="single" w:color="C9CED6" w:sz="1"/>
              <w:left w:val="single" w:color="C9CED6" w:sz="1"/>
              <w:bottom w:val="single" w:color="C9CED6" w:sz="1"/>
              <w:right w:val="single" w:color="C9CED6" w:sz="1"/>
            </w:tcBorders>
            <w:shd w:fill="FFFFFF" w:val="clear"/>
            <w:tcMar>
              <w:top w:type="dxa" w:w="60"/>
              <w:left w:type="dxa" w:w="110"/>
              <w:bottom w:type="dxa" w:w="60"/>
              <w:right w:type="dxa" w:w="110"/>
            </w:tcMar>
          </w:tcPr>
          <w:p>
            <w:r>
              <w:rPr>
                <w:sz w:val="20"/>
                <w:szCs w:val="20"/>
              </w:rPr>
              <w:t xml:space="preserve">1</w:t>
            </w:r>
          </w:p>
        </w:tc>
        <w:tc>
          <w:tcPr>
            <w:tcW w:type="dxa" w:w="1196"/>
            <w:tcBorders>
              <w:top w:val="single" w:color="C9CED6" w:sz="1"/>
              <w:left w:val="single" w:color="C9CED6" w:sz="1"/>
              <w:bottom w:val="single" w:color="C9CED6" w:sz="1"/>
              <w:right w:val="single" w:color="C9CED6" w:sz="1"/>
            </w:tcBorders>
            <w:shd w:fill="FFFFFF" w:val="clear"/>
            <w:tcMar>
              <w:top w:type="dxa" w:w="60"/>
              <w:left w:type="dxa" w:w="110"/>
              <w:bottom w:type="dxa" w:w="60"/>
              <w:right w:type="dxa" w:w="110"/>
            </w:tcMar>
          </w:tcPr>
          <w:p>
            <w:r>
              <w:rPr>
                <w:sz w:val="20"/>
                <w:szCs w:val="20"/>
              </w:rPr>
              <w:t xml:space="preserve">HIGH (logic)</w:t>
            </w:r>
          </w:p>
        </w:tc>
        <w:tc>
          <w:tcPr>
            <w:tcW w:type="dxa" w:w="3479"/>
            <w:tcBorders>
              <w:top w:val="single" w:color="C9CED6" w:sz="1"/>
              <w:left w:val="single" w:color="C9CED6" w:sz="1"/>
              <w:bottom w:val="single" w:color="C9CED6" w:sz="1"/>
              <w:right w:val="single" w:color="C9CED6" w:sz="1"/>
            </w:tcBorders>
            <w:shd w:fill="FFFFFF" w:val="clear"/>
            <w:tcMar>
              <w:top w:type="dxa" w:w="60"/>
              <w:left w:type="dxa" w:w="110"/>
              <w:bottom w:type="dxa" w:w="60"/>
              <w:right w:type="dxa" w:w="110"/>
            </w:tcMar>
          </w:tcPr>
          <w:p>
            <w:r>
              <w:rPr>
                <w:sz w:val="20"/>
                <w:szCs w:val="20"/>
              </w:rPr>
              <w:t xml:space="preserve">Lookup </w:t>
            </w:r>
            <w:r>
              <w:rPr>
                <w:rFonts w:ascii="Consolas" w:cs="Consolas" w:eastAsia="Consolas" w:hAnsi="Consolas"/>
                <w:color w:val="0E7490"/>
                <w:sz w:val="20"/>
                <w:szCs w:val="20"/>
              </w:rPr>
              <w:t xml:space="preserve">@odata.bind</w:t>
            </w:r>
            <w:r>
              <w:rPr>
                <w:sz w:val="20"/>
                <w:szCs w:val="20"/>
              </w:rPr>
              <w:t xml:space="preserve"> built as naive </w:t>
            </w:r>
            <w:r>
              <w:rPr>
                <w:rFonts w:ascii="Consolas" w:cs="Consolas" w:eastAsia="Consolas" w:hAnsi="Consolas"/>
                <w:color w:val="0E7490"/>
                <w:sz w:val="20"/>
                <w:szCs w:val="20"/>
              </w:rPr>
              <w:t xml:space="preserve">logical+"s"</w:t>
            </w:r>
            <w:r>
              <w:rPr>
                <w:sz w:val="20"/>
                <w:szCs w:val="20"/>
              </w:rPr>
              <w:t xml:space="preserve"> — broken for irregular plurals (opportunity) and polymorphic targets (owner)</w:t>
            </w:r>
          </w:p>
        </w:tc>
        <w:tc>
          <w:tcPr>
            <w:tcW w:type="dxa" w:w="2827"/>
            <w:tcBorders>
              <w:top w:val="single" w:color="C9CED6" w:sz="1"/>
              <w:left w:val="single" w:color="C9CED6" w:sz="1"/>
              <w:bottom w:val="single" w:color="C9CED6" w:sz="1"/>
              <w:right w:val="single" w:color="C9CED6" w:sz="1"/>
            </w:tcBorders>
            <w:shd w:fill="FFFFFF" w:val="clear"/>
            <w:tcMar>
              <w:top w:type="dxa" w:w="60"/>
              <w:left w:type="dxa" w:w="110"/>
              <w:bottom w:type="dxa" w:w="60"/>
              <w:right w:type="dxa" w:w="110"/>
            </w:tcMar>
          </w:tcPr>
          <w:p>
            <w:r>
              <w:rPr>
                <w:sz w:val="20"/>
                <w:szCs w:val="20"/>
              </w:rPr>
              <w:t xml:space="preserve">Real </w:t>
            </w:r>
            <w:r>
              <w:rPr>
                <w:rFonts w:ascii="Consolas" w:cs="Consolas" w:eastAsia="Consolas" w:hAnsi="Consolas"/>
                <w:color w:val="0E7490"/>
                <w:sz w:val="20"/>
                <w:szCs w:val="20"/>
              </w:rPr>
              <w:t xml:space="preserve">EntitySetName</w:t>
            </w:r>
            <w:r>
              <w:rPr>
                <w:sz w:val="20"/>
                <w:szCs w:val="20"/>
              </w:rPr>
              <w:t xml:space="preserve"> resolved from metadata; abstract-target map</w:t>
            </w:r>
          </w:p>
        </w:tc>
        <w:tc>
          <w:tcPr>
            <w:tcW w:type="dxa" w:w="981"/>
            <w:tcBorders>
              <w:top w:val="single" w:color="C9CED6" w:sz="1"/>
              <w:left w:val="single" w:color="C9CED6" w:sz="1"/>
              <w:bottom w:val="single" w:color="C9CED6" w:sz="1"/>
              <w:right w:val="single" w:color="C9CED6" w:sz="1"/>
            </w:tcBorders>
            <w:shd w:fill="FFFFFF" w:val="clear"/>
            <w:tcMar>
              <w:top w:type="dxa" w:w="60"/>
              <w:left w:type="dxa" w:w="110"/>
              <w:bottom w:type="dxa" w:w="60"/>
              <w:right w:type="dxa" w:w="110"/>
            </w:tcMar>
          </w:tcPr>
          <w:p>
            <w:r>
              <w:rPr>
                <w:sz w:val="20"/>
                <w:szCs w:val="20"/>
              </w:rPr>
              <w:t xml:space="preserve">1.10.16</w:t>
            </w:r>
          </w:p>
        </w:tc>
      </w:tr>
      <w:tr>
        <w:tc>
          <w:tcPr>
            <w:tcW w:type="dxa" w:w="543"/>
            <w:tcBorders>
              <w:top w:val="single" w:color="C9CED6" w:sz="1"/>
              <w:left w:val="single" w:color="C9CED6" w:sz="1"/>
              <w:bottom w:val="single" w:color="C9CED6" w:sz="1"/>
              <w:right w:val="single" w:color="C9CED6" w:sz="1"/>
            </w:tcBorders>
            <w:shd w:fill="F7F8FA" w:val="clear"/>
            <w:tcMar>
              <w:top w:type="dxa" w:w="60"/>
              <w:left w:type="dxa" w:w="110"/>
              <w:bottom w:type="dxa" w:w="60"/>
              <w:right w:type="dxa" w:w="110"/>
            </w:tcMar>
          </w:tcPr>
          <w:p>
            <w:r>
              <w:rPr>
                <w:sz w:val="20"/>
                <w:szCs w:val="20"/>
              </w:rPr>
              <w:t xml:space="preserve">2</w:t>
            </w:r>
          </w:p>
        </w:tc>
        <w:tc>
          <w:tcPr>
            <w:tcW w:type="dxa" w:w="1196"/>
            <w:tcBorders>
              <w:top w:val="single" w:color="C9CED6" w:sz="1"/>
              <w:left w:val="single" w:color="C9CED6" w:sz="1"/>
              <w:bottom w:val="single" w:color="C9CED6" w:sz="1"/>
              <w:right w:val="single" w:color="C9CED6" w:sz="1"/>
            </w:tcBorders>
            <w:shd w:fill="F7F8FA" w:val="clear"/>
            <w:tcMar>
              <w:top w:type="dxa" w:w="60"/>
              <w:left w:type="dxa" w:w="110"/>
              <w:bottom w:type="dxa" w:w="60"/>
              <w:right w:type="dxa" w:w="110"/>
            </w:tcMar>
          </w:tcPr>
          <w:p>
            <w:r>
              <w:rPr>
                <w:sz w:val="20"/>
                <w:szCs w:val="20"/>
              </w:rPr>
              <w:t xml:space="preserve">HIGH (logic)</w:t>
            </w:r>
          </w:p>
        </w:tc>
        <w:tc>
          <w:tcPr>
            <w:tcW w:type="dxa" w:w="3479"/>
            <w:tcBorders>
              <w:top w:val="single" w:color="C9CED6" w:sz="1"/>
              <w:left w:val="single" w:color="C9CED6" w:sz="1"/>
              <w:bottom w:val="single" w:color="C9CED6" w:sz="1"/>
              <w:right w:val="single" w:color="C9CED6" w:sz="1"/>
            </w:tcBorders>
            <w:shd w:fill="F7F8FA" w:val="clear"/>
            <w:tcMar>
              <w:top w:type="dxa" w:w="60"/>
              <w:left w:type="dxa" w:w="110"/>
              <w:bottom w:type="dxa" w:w="60"/>
              <w:right w:type="dxa" w:w="110"/>
            </w:tcMar>
          </w:tcPr>
          <w:p>
            <w:r>
              <w:rPr>
                <w:sz w:val="20"/>
                <w:szCs w:val="20"/>
              </w:rPr>
              <w:t xml:space="preserve">Non-writable fields (calculated/rollup) offered in mapping → per-row 400s</w:t>
            </w:r>
          </w:p>
        </w:tc>
        <w:tc>
          <w:tcPr>
            <w:tcW w:type="dxa" w:w="2827"/>
            <w:tcBorders>
              <w:top w:val="single" w:color="C9CED6" w:sz="1"/>
              <w:left w:val="single" w:color="C9CED6" w:sz="1"/>
              <w:bottom w:val="single" w:color="C9CED6" w:sz="1"/>
              <w:right w:val="single" w:color="C9CED6" w:sz="1"/>
            </w:tcBorders>
            <w:shd w:fill="F7F8FA" w:val="clear"/>
            <w:tcMar>
              <w:top w:type="dxa" w:w="60"/>
              <w:left w:type="dxa" w:w="110"/>
              <w:bottom w:type="dxa" w:w="60"/>
              <w:right w:type="dxa" w:w="110"/>
            </w:tcMar>
          </w:tcPr>
          <w:p>
            <w:r>
              <w:rPr>
                <w:rFonts w:ascii="Consolas" w:cs="Consolas" w:eastAsia="Consolas" w:hAnsi="Consolas"/>
                <w:color w:val="0E7490"/>
                <w:sz w:val="20"/>
                <w:szCs w:val="20"/>
              </w:rPr>
              <w:t xml:space="preserve">IsValidForCreate/Update</w:t>
            </w:r>
            <w:r>
              <w:rPr>
                <w:sz w:val="20"/>
                <w:szCs w:val="20"/>
              </w:rPr>
              <w:t xml:space="preserve"> surfaced; pre-flight warning per mode</w:t>
            </w:r>
          </w:p>
        </w:tc>
        <w:tc>
          <w:tcPr>
            <w:tcW w:type="dxa" w:w="981"/>
            <w:tcBorders>
              <w:top w:val="single" w:color="C9CED6" w:sz="1"/>
              <w:left w:val="single" w:color="C9CED6" w:sz="1"/>
              <w:bottom w:val="single" w:color="C9CED6" w:sz="1"/>
              <w:right w:val="single" w:color="C9CED6" w:sz="1"/>
            </w:tcBorders>
            <w:shd w:fill="F7F8FA" w:val="clear"/>
            <w:tcMar>
              <w:top w:type="dxa" w:w="60"/>
              <w:left w:type="dxa" w:w="110"/>
              <w:bottom w:type="dxa" w:w="60"/>
              <w:right w:type="dxa" w:w="110"/>
            </w:tcMar>
          </w:tcPr>
          <w:p>
            <w:r>
              <w:rPr>
                <w:sz w:val="20"/>
                <w:szCs w:val="20"/>
              </w:rPr>
              <w:t xml:space="preserve">1.10.16</w:t>
            </w:r>
          </w:p>
        </w:tc>
      </w:tr>
      <w:tr>
        <w:tc>
          <w:tcPr>
            <w:tcW w:type="dxa" w:w="543"/>
            <w:tcBorders>
              <w:top w:val="single" w:color="C9CED6" w:sz="1"/>
              <w:left w:val="single" w:color="C9CED6" w:sz="1"/>
              <w:bottom w:val="single" w:color="C9CED6" w:sz="1"/>
              <w:right w:val="single" w:color="C9CED6" w:sz="1"/>
            </w:tcBorders>
            <w:shd w:fill="FFFFFF" w:val="clear"/>
            <w:tcMar>
              <w:top w:type="dxa" w:w="60"/>
              <w:left w:type="dxa" w:w="110"/>
              <w:bottom w:type="dxa" w:w="60"/>
              <w:right w:type="dxa" w:w="110"/>
            </w:tcMar>
          </w:tcPr>
          <w:p>
            <w:r>
              <w:rPr>
                <w:sz w:val="20"/>
                <w:szCs w:val="20"/>
              </w:rPr>
              <w:t xml:space="preserve">3</w:t>
            </w:r>
          </w:p>
        </w:tc>
        <w:tc>
          <w:tcPr>
            <w:tcW w:type="dxa" w:w="1196"/>
            <w:tcBorders>
              <w:top w:val="single" w:color="C9CED6" w:sz="1"/>
              <w:left w:val="single" w:color="C9CED6" w:sz="1"/>
              <w:bottom w:val="single" w:color="C9CED6" w:sz="1"/>
              <w:right w:val="single" w:color="C9CED6" w:sz="1"/>
            </w:tcBorders>
            <w:shd w:fill="FFFFFF" w:val="clear"/>
            <w:tcMar>
              <w:top w:type="dxa" w:w="60"/>
              <w:left w:type="dxa" w:w="110"/>
              <w:bottom w:type="dxa" w:w="60"/>
              <w:right w:type="dxa" w:w="110"/>
            </w:tcMar>
          </w:tcPr>
          <w:p>
            <w:r>
              <w:rPr>
                <w:sz w:val="20"/>
                <w:szCs w:val="20"/>
              </w:rPr>
              <w:t xml:space="preserve">HIGH (data)</w:t>
            </w:r>
          </w:p>
        </w:tc>
        <w:tc>
          <w:tcPr>
            <w:tcW w:type="dxa" w:w="3479"/>
            <w:tcBorders>
              <w:top w:val="single" w:color="C9CED6" w:sz="1"/>
              <w:left w:val="single" w:color="C9CED6" w:sz="1"/>
              <w:bottom w:val="single" w:color="C9CED6" w:sz="1"/>
              <w:right w:val="single" w:color="C9CED6" w:sz="1"/>
            </w:tcBorders>
            <w:shd w:fill="FFFFFF" w:val="clear"/>
            <w:tcMar>
              <w:top w:type="dxa" w:w="60"/>
              <w:left w:type="dxa" w:w="110"/>
              <w:bottom w:type="dxa" w:w="60"/>
              <w:right w:type="dxa" w:w="110"/>
            </w:tcMar>
          </w:tcPr>
          <w:p>
            <w:r>
              <w:rPr>
                <w:sz w:val="20"/>
                <w:szCs w:val="20"/>
              </w:rPr>
              <w:t xml:space="preserve">Naive CSV parser mis-split quoted cells ("Acme, Inc.") — silent column-shift corruption</w:t>
            </w:r>
          </w:p>
        </w:tc>
        <w:tc>
          <w:tcPr>
            <w:tcW w:type="dxa" w:w="2827"/>
            <w:tcBorders>
              <w:top w:val="single" w:color="C9CED6" w:sz="1"/>
              <w:left w:val="single" w:color="C9CED6" w:sz="1"/>
              <w:bottom w:val="single" w:color="C9CED6" w:sz="1"/>
              <w:right w:val="single" w:color="C9CED6" w:sz="1"/>
            </w:tcBorders>
            <w:shd w:fill="FFFFFF" w:val="clear"/>
            <w:tcMar>
              <w:top w:type="dxa" w:w="60"/>
              <w:left w:type="dxa" w:w="110"/>
              <w:bottom w:type="dxa" w:w="60"/>
              <w:right w:type="dxa" w:w="110"/>
            </w:tcMar>
          </w:tcPr>
          <w:p>
            <w:r>
              <w:rPr>
                <w:sz w:val="20"/>
                <w:szCs w:val="20"/>
              </w:rPr>
              <w:t xml:space="preserve">RFC-4180 character-level parser + direct Excel row reading; unit-tested</w:t>
            </w:r>
          </w:p>
        </w:tc>
        <w:tc>
          <w:tcPr>
            <w:tcW w:type="dxa" w:w="981"/>
            <w:tcBorders>
              <w:top w:val="single" w:color="C9CED6" w:sz="1"/>
              <w:left w:val="single" w:color="C9CED6" w:sz="1"/>
              <w:bottom w:val="single" w:color="C9CED6" w:sz="1"/>
              <w:right w:val="single" w:color="C9CED6" w:sz="1"/>
            </w:tcBorders>
            <w:shd w:fill="FFFFFF" w:val="clear"/>
            <w:tcMar>
              <w:top w:type="dxa" w:w="60"/>
              <w:left w:type="dxa" w:w="110"/>
              <w:bottom w:type="dxa" w:w="60"/>
              <w:right w:type="dxa" w:w="110"/>
            </w:tcMar>
          </w:tcPr>
          <w:p>
            <w:r>
              <w:rPr>
                <w:sz w:val="20"/>
                <w:szCs w:val="20"/>
              </w:rPr>
              <w:t xml:space="preserve">1.10.17</w:t>
            </w:r>
          </w:p>
        </w:tc>
      </w:tr>
      <w:tr>
        <w:tc>
          <w:tcPr>
            <w:tcW w:type="dxa" w:w="543"/>
            <w:tcBorders>
              <w:top w:val="single" w:color="C9CED6" w:sz="1"/>
              <w:left w:val="single" w:color="C9CED6" w:sz="1"/>
              <w:bottom w:val="single" w:color="C9CED6" w:sz="1"/>
              <w:right w:val="single" w:color="C9CED6" w:sz="1"/>
            </w:tcBorders>
            <w:shd w:fill="F7F8FA" w:val="clear"/>
            <w:tcMar>
              <w:top w:type="dxa" w:w="60"/>
              <w:left w:type="dxa" w:w="110"/>
              <w:bottom w:type="dxa" w:w="60"/>
              <w:right w:type="dxa" w:w="110"/>
            </w:tcMar>
          </w:tcPr>
          <w:p>
            <w:r>
              <w:rPr>
                <w:sz w:val="20"/>
                <w:szCs w:val="20"/>
              </w:rPr>
              <w:t xml:space="preserve">4</w:t>
            </w:r>
          </w:p>
        </w:tc>
        <w:tc>
          <w:tcPr>
            <w:tcW w:type="dxa" w:w="1196"/>
            <w:tcBorders>
              <w:top w:val="single" w:color="C9CED6" w:sz="1"/>
              <w:left w:val="single" w:color="C9CED6" w:sz="1"/>
              <w:bottom w:val="single" w:color="C9CED6" w:sz="1"/>
              <w:right w:val="single" w:color="C9CED6" w:sz="1"/>
            </w:tcBorders>
            <w:shd w:fill="F7F8FA" w:val="clear"/>
            <w:tcMar>
              <w:top w:type="dxa" w:w="60"/>
              <w:left w:type="dxa" w:w="110"/>
              <w:bottom w:type="dxa" w:w="60"/>
              <w:right w:type="dxa" w:w="110"/>
            </w:tcMar>
          </w:tcPr>
          <w:p>
            <w:r>
              <w:rPr>
                <w:sz w:val="20"/>
                <w:szCs w:val="20"/>
              </w:rPr>
              <w:t xml:space="preserve">MED (data)</w:t>
            </w:r>
          </w:p>
        </w:tc>
        <w:tc>
          <w:tcPr>
            <w:tcW w:type="dxa" w:w="3479"/>
            <w:tcBorders>
              <w:top w:val="single" w:color="C9CED6" w:sz="1"/>
              <w:left w:val="single" w:color="C9CED6" w:sz="1"/>
              <w:bottom w:val="single" w:color="C9CED6" w:sz="1"/>
              <w:right w:val="single" w:color="C9CED6" w:sz="1"/>
            </w:tcBorders>
            <w:shd w:fill="F7F8FA" w:val="clear"/>
            <w:tcMar>
              <w:top w:type="dxa" w:w="60"/>
              <w:left w:type="dxa" w:w="110"/>
              <w:bottom w:type="dxa" w:w="60"/>
              <w:right w:type="dxa" w:w="110"/>
            </w:tcMar>
          </w:tcPr>
          <w:p>
            <w:r>
              <w:rPr>
                <w:sz w:val="20"/>
                <w:szCs w:val="20"/>
              </w:rPr>
              <w:t xml:space="preserve">EU decimal formats truncated (</w:t>
            </w:r>
            <w:r>
              <w:rPr>
                <w:rFonts w:ascii="Consolas" w:cs="Consolas" w:eastAsia="Consolas" w:hAnsi="Consolas"/>
                <w:color w:val="0E7490"/>
                <w:sz w:val="20"/>
                <w:szCs w:val="20"/>
              </w:rPr>
              <w:t xml:space="preserve">1,5</w:t>
            </w:r>
            <w:r>
              <w:rPr>
                <w:sz w:val="20"/>
                <w:szCs w:val="20"/>
              </w:rPr>
              <w:t xml:space="preserve"> → 1)</w:t>
            </w:r>
          </w:p>
        </w:tc>
        <w:tc>
          <w:tcPr>
            <w:tcW w:type="dxa" w:w="2827"/>
            <w:tcBorders>
              <w:top w:val="single" w:color="C9CED6" w:sz="1"/>
              <w:left w:val="single" w:color="C9CED6" w:sz="1"/>
              <w:bottom w:val="single" w:color="C9CED6" w:sz="1"/>
              <w:right w:val="single" w:color="C9CED6" w:sz="1"/>
            </w:tcBorders>
            <w:shd w:fill="F7F8FA" w:val="clear"/>
            <w:tcMar>
              <w:top w:type="dxa" w:w="60"/>
              <w:left w:type="dxa" w:w="110"/>
              <w:bottom w:type="dxa" w:w="60"/>
              <w:right w:type="dxa" w:w="110"/>
            </w:tcMar>
          </w:tcPr>
          <w:p>
            <w:r>
              <w:rPr>
                <w:sz w:val="20"/>
                <w:szCs w:val="20"/>
              </w:rPr>
              <w:t xml:space="preserve">Locale-aware float/int transforms</w:t>
            </w:r>
          </w:p>
        </w:tc>
        <w:tc>
          <w:tcPr>
            <w:tcW w:type="dxa" w:w="981"/>
            <w:tcBorders>
              <w:top w:val="single" w:color="C9CED6" w:sz="1"/>
              <w:left w:val="single" w:color="C9CED6" w:sz="1"/>
              <w:bottom w:val="single" w:color="C9CED6" w:sz="1"/>
              <w:right w:val="single" w:color="C9CED6" w:sz="1"/>
            </w:tcBorders>
            <w:shd w:fill="F7F8FA" w:val="clear"/>
            <w:tcMar>
              <w:top w:type="dxa" w:w="60"/>
              <w:left w:type="dxa" w:w="110"/>
              <w:bottom w:type="dxa" w:w="60"/>
              <w:right w:type="dxa" w:w="110"/>
            </w:tcMar>
          </w:tcPr>
          <w:p>
            <w:r>
              <w:rPr>
                <w:sz w:val="20"/>
                <w:szCs w:val="20"/>
              </w:rPr>
              <w:t xml:space="preserve">1.10.17</w:t>
            </w:r>
          </w:p>
        </w:tc>
      </w:tr>
      <w:tr>
        <w:tc>
          <w:tcPr>
            <w:tcW w:type="dxa" w:w="543"/>
            <w:tcBorders>
              <w:top w:val="single" w:color="C9CED6" w:sz="1"/>
              <w:left w:val="single" w:color="C9CED6" w:sz="1"/>
              <w:bottom w:val="single" w:color="C9CED6" w:sz="1"/>
              <w:right w:val="single" w:color="C9CED6" w:sz="1"/>
            </w:tcBorders>
            <w:shd w:fill="FFFFFF" w:val="clear"/>
            <w:tcMar>
              <w:top w:type="dxa" w:w="60"/>
              <w:left w:type="dxa" w:w="110"/>
              <w:bottom w:type="dxa" w:w="60"/>
              <w:right w:type="dxa" w:w="110"/>
            </w:tcMar>
          </w:tcPr>
          <w:p>
            <w:r>
              <w:rPr>
                <w:sz w:val="20"/>
                <w:szCs w:val="20"/>
              </w:rPr>
              <w:t xml:space="preserve">5</w:t>
            </w:r>
          </w:p>
        </w:tc>
        <w:tc>
          <w:tcPr>
            <w:tcW w:type="dxa" w:w="1196"/>
            <w:tcBorders>
              <w:top w:val="single" w:color="C9CED6" w:sz="1"/>
              <w:left w:val="single" w:color="C9CED6" w:sz="1"/>
              <w:bottom w:val="single" w:color="C9CED6" w:sz="1"/>
              <w:right w:val="single" w:color="C9CED6" w:sz="1"/>
            </w:tcBorders>
            <w:shd w:fill="FFFFFF" w:val="clear"/>
            <w:tcMar>
              <w:top w:type="dxa" w:w="60"/>
              <w:left w:type="dxa" w:w="110"/>
              <w:bottom w:type="dxa" w:w="60"/>
              <w:right w:type="dxa" w:w="110"/>
            </w:tcMar>
          </w:tcPr>
          <w:p>
            <w:r>
              <w:rPr>
                <w:sz w:val="20"/>
                <w:szCs w:val="20"/>
              </w:rPr>
              <w:t xml:space="preserve">MED (sec)</w:t>
            </w:r>
          </w:p>
        </w:tc>
        <w:tc>
          <w:tcPr>
            <w:tcW w:type="dxa" w:w="3479"/>
            <w:tcBorders>
              <w:top w:val="single" w:color="C9CED6" w:sz="1"/>
              <w:left w:val="single" w:color="C9CED6" w:sz="1"/>
              <w:bottom w:val="single" w:color="C9CED6" w:sz="1"/>
              <w:right w:val="single" w:color="C9CED6" w:sz="1"/>
            </w:tcBorders>
            <w:shd w:fill="FFFFFF" w:val="clear"/>
            <w:tcMar>
              <w:top w:type="dxa" w:w="60"/>
              <w:left w:type="dxa" w:w="110"/>
              <w:bottom w:type="dxa" w:w="60"/>
              <w:right w:type="dxa" w:w="110"/>
            </w:tcMar>
          </w:tcPr>
          <w:p>
            <w:r>
              <w:rPr>
                <w:sz w:val="20"/>
                <w:szCs w:val="20"/>
              </w:rPr>
              <w:t xml:space="preserve">API Tester history stored secret headers in clear</w:t>
            </w:r>
          </w:p>
        </w:tc>
        <w:tc>
          <w:tcPr>
            <w:tcW w:type="dxa" w:w="2827"/>
            <w:tcBorders>
              <w:top w:val="single" w:color="C9CED6" w:sz="1"/>
              <w:left w:val="single" w:color="C9CED6" w:sz="1"/>
              <w:bottom w:val="single" w:color="C9CED6" w:sz="1"/>
              <w:right w:val="single" w:color="C9CED6" w:sz="1"/>
            </w:tcBorders>
            <w:shd w:fill="FFFFFF" w:val="clear"/>
            <w:tcMar>
              <w:top w:type="dxa" w:w="60"/>
              <w:left w:type="dxa" w:w="110"/>
              <w:bottom w:type="dxa" w:w="60"/>
              <w:right w:type="dxa" w:w="110"/>
            </w:tcMar>
          </w:tcPr>
          <w:p>
            <w:r>
              <w:rPr>
                <w:sz w:val="20"/>
                <w:szCs w:val="20"/>
              </w:rPr>
              <w:t xml:space="preserve">Redaction before persistence</w:t>
            </w:r>
          </w:p>
        </w:tc>
        <w:tc>
          <w:tcPr>
            <w:tcW w:type="dxa" w:w="981"/>
            <w:tcBorders>
              <w:top w:val="single" w:color="C9CED6" w:sz="1"/>
              <w:left w:val="single" w:color="C9CED6" w:sz="1"/>
              <w:bottom w:val="single" w:color="C9CED6" w:sz="1"/>
              <w:right w:val="single" w:color="C9CED6" w:sz="1"/>
            </w:tcBorders>
            <w:shd w:fill="FFFFFF" w:val="clear"/>
            <w:tcMar>
              <w:top w:type="dxa" w:w="60"/>
              <w:left w:type="dxa" w:w="110"/>
              <w:bottom w:type="dxa" w:w="60"/>
              <w:right w:type="dxa" w:w="110"/>
            </w:tcMar>
          </w:tcPr>
          <w:p>
            <w:r>
              <w:rPr>
                <w:sz w:val="20"/>
                <w:szCs w:val="20"/>
              </w:rPr>
              <w:t xml:space="preserve">1.10.17</w:t>
            </w:r>
          </w:p>
        </w:tc>
      </w:tr>
      <w:tr>
        <w:tc>
          <w:tcPr>
            <w:tcW w:type="dxa" w:w="543"/>
            <w:tcBorders>
              <w:top w:val="single" w:color="C9CED6" w:sz="1"/>
              <w:left w:val="single" w:color="C9CED6" w:sz="1"/>
              <w:bottom w:val="single" w:color="C9CED6" w:sz="1"/>
              <w:right w:val="single" w:color="C9CED6" w:sz="1"/>
            </w:tcBorders>
            <w:shd w:fill="F7F8FA" w:val="clear"/>
            <w:tcMar>
              <w:top w:type="dxa" w:w="60"/>
              <w:left w:type="dxa" w:w="110"/>
              <w:bottom w:type="dxa" w:w="60"/>
              <w:right w:type="dxa" w:w="110"/>
            </w:tcMar>
          </w:tcPr>
          <w:p>
            <w:r>
              <w:rPr>
                <w:sz w:val="20"/>
                <w:szCs w:val="20"/>
              </w:rPr>
              <w:t xml:space="preserve">6</w:t>
            </w:r>
          </w:p>
        </w:tc>
        <w:tc>
          <w:tcPr>
            <w:tcW w:type="dxa" w:w="1196"/>
            <w:tcBorders>
              <w:top w:val="single" w:color="C9CED6" w:sz="1"/>
              <w:left w:val="single" w:color="C9CED6" w:sz="1"/>
              <w:bottom w:val="single" w:color="C9CED6" w:sz="1"/>
              <w:right w:val="single" w:color="C9CED6" w:sz="1"/>
            </w:tcBorders>
            <w:shd w:fill="F7F8FA" w:val="clear"/>
            <w:tcMar>
              <w:top w:type="dxa" w:w="60"/>
              <w:left w:type="dxa" w:w="110"/>
              <w:bottom w:type="dxa" w:w="60"/>
              <w:right w:type="dxa" w:w="110"/>
            </w:tcMar>
          </w:tcPr>
          <w:p>
            <w:r>
              <w:rPr>
                <w:sz w:val="20"/>
                <w:szCs w:val="20"/>
              </w:rPr>
              <w:t xml:space="preserve">MED (sec)</w:t>
            </w:r>
          </w:p>
        </w:tc>
        <w:tc>
          <w:tcPr>
            <w:tcW w:type="dxa" w:w="3479"/>
            <w:tcBorders>
              <w:top w:val="single" w:color="C9CED6" w:sz="1"/>
              <w:left w:val="single" w:color="C9CED6" w:sz="1"/>
              <w:bottom w:val="single" w:color="C9CED6" w:sz="1"/>
              <w:right w:val="single" w:color="C9CED6" w:sz="1"/>
            </w:tcBorders>
            <w:shd w:fill="F7F8FA" w:val="clear"/>
            <w:tcMar>
              <w:top w:type="dxa" w:w="60"/>
              <w:left w:type="dxa" w:w="110"/>
              <w:bottom w:type="dxa" w:w="60"/>
              <w:right w:type="dxa" w:w="110"/>
            </w:tcMar>
          </w:tcPr>
          <w:p>
            <w:r>
              <w:rPr>
                <w:sz w:val="20"/>
                <w:szCs w:val="20"/>
              </w:rPr>
              <w:t xml:space="preserve">XLSX / LoginHistory exports lacked formula-injection guard</w:t>
            </w:r>
          </w:p>
        </w:tc>
        <w:tc>
          <w:tcPr>
            <w:tcW w:type="dxa" w:w="2827"/>
            <w:tcBorders>
              <w:top w:val="single" w:color="C9CED6" w:sz="1"/>
              <w:left w:val="single" w:color="C9CED6" w:sz="1"/>
              <w:bottom w:val="single" w:color="C9CED6" w:sz="1"/>
              <w:right w:val="single" w:color="C9CED6" w:sz="1"/>
            </w:tcBorders>
            <w:shd w:fill="F7F8FA" w:val="clear"/>
            <w:tcMar>
              <w:top w:type="dxa" w:w="60"/>
              <w:left w:type="dxa" w:w="110"/>
              <w:bottom w:type="dxa" w:w="60"/>
              <w:right w:type="dxa" w:w="110"/>
            </w:tcMar>
          </w:tcPr>
          <w:p>
            <w:r>
              <w:rPr>
                <w:sz w:val="20"/>
                <w:szCs w:val="20"/>
              </w:rPr>
              <w:t xml:space="preserve">Guard applied; later refined to typed XLSX cells (see #9)</w:t>
            </w:r>
          </w:p>
        </w:tc>
        <w:tc>
          <w:tcPr>
            <w:tcW w:type="dxa" w:w="981"/>
            <w:tcBorders>
              <w:top w:val="single" w:color="C9CED6" w:sz="1"/>
              <w:left w:val="single" w:color="C9CED6" w:sz="1"/>
              <w:bottom w:val="single" w:color="C9CED6" w:sz="1"/>
              <w:right w:val="single" w:color="C9CED6" w:sz="1"/>
            </w:tcBorders>
            <w:shd w:fill="F7F8FA" w:val="clear"/>
            <w:tcMar>
              <w:top w:type="dxa" w:w="60"/>
              <w:left w:type="dxa" w:w="110"/>
              <w:bottom w:type="dxa" w:w="60"/>
              <w:right w:type="dxa" w:w="110"/>
            </w:tcMar>
          </w:tcPr>
          <w:p>
            <w:r>
              <w:rPr>
                <w:sz w:val="20"/>
                <w:szCs w:val="20"/>
              </w:rPr>
              <w:t xml:space="preserve">1.10.17 / 1.10.25</w:t>
            </w:r>
          </w:p>
        </w:tc>
      </w:tr>
      <w:tr>
        <w:tc>
          <w:tcPr>
            <w:tcW w:type="dxa" w:w="543"/>
            <w:tcBorders>
              <w:top w:val="single" w:color="C9CED6" w:sz="1"/>
              <w:left w:val="single" w:color="C9CED6" w:sz="1"/>
              <w:bottom w:val="single" w:color="C9CED6" w:sz="1"/>
              <w:right w:val="single" w:color="C9CED6" w:sz="1"/>
            </w:tcBorders>
            <w:shd w:fill="FFFFFF" w:val="clear"/>
            <w:tcMar>
              <w:top w:type="dxa" w:w="60"/>
              <w:left w:type="dxa" w:w="110"/>
              <w:bottom w:type="dxa" w:w="60"/>
              <w:right w:type="dxa" w:w="110"/>
            </w:tcMar>
          </w:tcPr>
          <w:p>
            <w:r>
              <w:rPr>
                <w:sz w:val="20"/>
                <w:szCs w:val="20"/>
              </w:rPr>
              <w:t xml:space="preserve">7</w:t>
            </w:r>
          </w:p>
        </w:tc>
        <w:tc>
          <w:tcPr>
            <w:tcW w:type="dxa" w:w="1196"/>
            <w:tcBorders>
              <w:top w:val="single" w:color="C9CED6" w:sz="1"/>
              <w:left w:val="single" w:color="C9CED6" w:sz="1"/>
              <w:bottom w:val="single" w:color="C9CED6" w:sz="1"/>
              <w:right w:val="single" w:color="C9CED6" w:sz="1"/>
            </w:tcBorders>
            <w:shd w:fill="FFFFFF" w:val="clear"/>
            <w:tcMar>
              <w:top w:type="dxa" w:w="60"/>
              <w:left w:type="dxa" w:w="110"/>
              <w:bottom w:type="dxa" w:w="60"/>
              <w:right w:type="dxa" w:w="110"/>
            </w:tcMar>
          </w:tcPr>
          <w:p>
            <w:r>
              <w:rPr>
                <w:sz w:val="20"/>
                <w:szCs w:val="20"/>
              </w:rPr>
              <w:t xml:space="preserve">HIGH (logic)</w:t>
            </w:r>
          </w:p>
        </w:tc>
        <w:tc>
          <w:tcPr>
            <w:tcW w:type="dxa" w:w="3479"/>
            <w:tcBorders>
              <w:top w:val="single" w:color="C9CED6" w:sz="1"/>
              <w:left w:val="single" w:color="C9CED6" w:sz="1"/>
              <w:bottom w:val="single" w:color="C9CED6" w:sz="1"/>
              <w:right w:val="single" w:color="C9CED6" w:sz="1"/>
            </w:tcBorders>
            <w:shd w:fill="FFFFFF" w:val="clear"/>
            <w:tcMar>
              <w:top w:type="dxa" w:w="60"/>
              <w:left w:type="dxa" w:w="110"/>
              <w:bottom w:type="dxa" w:w="60"/>
              <w:right w:type="dxa" w:w="110"/>
            </w:tcMar>
          </w:tcPr>
          <w:p>
            <w:r>
              <w:rPr>
                <w:sz w:val="20"/>
                <w:szCs w:val="20"/>
              </w:rPr>
              <w:t xml:space="preserve">UPDATE mode could create: serial fallback missing </w:t>
            </w:r>
            <w:r>
              <w:rPr>
                <w:rFonts w:ascii="Consolas" w:cs="Consolas" w:eastAsia="Consolas" w:hAnsi="Consolas"/>
                <w:color w:val="0E7490"/>
                <w:sz w:val="20"/>
                <w:szCs w:val="20"/>
              </w:rPr>
              <w:t xml:space="preserve">If-Match</w:t>
            </w:r>
            <w:r>
              <w:rPr>
                <w:sz w:val="20"/>
                <w:szCs w:val="20"/>
              </w:rPr>
              <w:t xml:space="preserve">, empty-key rows routed to CREATE</w:t>
            </w:r>
          </w:p>
        </w:tc>
        <w:tc>
          <w:tcPr>
            <w:tcW w:type="dxa" w:w="2827"/>
            <w:tcBorders>
              <w:top w:val="single" w:color="C9CED6" w:sz="1"/>
              <w:left w:val="single" w:color="C9CED6" w:sz="1"/>
              <w:bottom w:val="single" w:color="C9CED6" w:sz="1"/>
              <w:right w:val="single" w:color="C9CED6" w:sz="1"/>
            </w:tcBorders>
            <w:shd w:fill="FFFFFF" w:val="clear"/>
            <w:tcMar>
              <w:top w:type="dxa" w:w="60"/>
              <w:left w:type="dxa" w:w="110"/>
              <w:bottom w:type="dxa" w:w="60"/>
              <w:right w:type="dxa" w:w="110"/>
            </w:tcMar>
          </w:tcPr>
          <w:p>
            <w:r>
              <w:rPr>
                <w:sz w:val="20"/>
                <w:szCs w:val="20"/>
              </w:rPr>
              <w:t xml:space="preserve">If-Match on fallback; empty keys rejected; existence pre-check option</w:t>
            </w:r>
          </w:p>
        </w:tc>
        <w:tc>
          <w:tcPr>
            <w:tcW w:type="dxa" w:w="981"/>
            <w:tcBorders>
              <w:top w:val="single" w:color="C9CED6" w:sz="1"/>
              <w:left w:val="single" w:color="C9CED6" w:sz="1"/>
              <w:bottom w:val="single" w:color="C9CED6" w:sz="1"/>
              <w:right w:val="single" w:color="C9CED6" w:sz="1"/>
            </w:tcBorders>
            <w:shd w:fill="FFFFFF" w:val="clear"/>
            <w:tcMar>
              <w:top w:type="dxa" w:w="60"/>
              <w:left w:type="dxa" w:w="110"/>
              <w:bottom w:type="dxa" w:w="60"/>
              <w:right w:type="dxa" w:w="110"/>
            </w:tcMar>
          </w:tcPr>
          <w:p>
            <w:r>
              <w:rPr>
                <w:sz w:val="20"/>
                <w:szCs w:val="20"/>
              </w:rPr>
              <w:t xml:space="preserve">1.10.19 / 1.10.20</w:t>
            </w:r>
          </w:p>
        </w:tc>
      </w:tr>
      <w:tr>
        <w:tc>
          <w:tcPr>
            <w:tcW w:type="dxa" w:w="543"/>
            <w:tcBorders>
              <w:top w:val="single" w:color="C9CED6" w:sz="1"/>
              <w:left w:val="single" w:color="C9CED6" w:sz="1"/>
              <w:bottom w:val="single" w:color="C9CED6" w:sz="1"/>
              <w:right w:val="single" w:color="C9CED6" w:sz="1"/>
            </w:tcBorders>
            <w:shd w:fill="F7F8FA" w:val="clear"/>
            <w:tcMar>
              <w:top w:type="dxa" w:w="60"/>
              <w:left w:type="dxa" w:w="110"/>
              <w:bottom w:type="dxa" w:w="60"/>
              <w:right w:type="dxa" w:w="110"/>
            </w:tcMar>
          </w:tcPr>
          <w:p>
            <w:r>
              <w:rPr>
                <w:sz w:val="20"/>
                <w:szCs w:val="20"/>
              </w:rPr>
              <w:t xml:space="preserve">8</w:t>
            </w:r>
          </w:p>
        </w:tc>
        <w:tc>
          <w:tcPr>
            <w:tcW w:type="dxa" w:w="1196"/>
            <w:tcBorders>
              <w:top w:val="single" w:color="C9CED6" w:sz="1"/>
              <w:left w:val="single" w:color="C9CED6" w:sz="1"/>
              <w:bottom w:val="single" w:color="C9CED6" w:sz="1"/>
              <w:right w:val="single" w:color="C9CED6" w:sz="1"/>
            </w:tcBorders>
            <w:shd w:fill="F7F8FA" w:val="clear"/>
            <w:tcMar>
              <w:top w:type="dxa" w:w="60"/>
              <w:left w:type="dxa" w:w="110"/>
              <w:bottom w:type="dxa" w:w="60"/>
              <w:right w:type="dxa" w:w="110"/>
            </w:tcMar>
          </w:tcPr>
          <w:p>
            <w:r>
              <w:rPr>
                <w:sz w:val="20"/>
                <w:szCs w:val="20"/>
              </w:rPr>
              <w:t xml:space="preserve">MED (logic)</w:t>
            </w:r>
          </w:p>
        </w:tc>
        <w:tc>
          <w:tcPr>
            <w:tcW w:type="dxa" w:w="3479"/>
            <w:tcBorders>
              <w:top w:val="single" w:color="C9CED6" w:sz="1"/>
              <w:left w:val="single" w:color="C9CED6" w:sz="1"/>
              <w:bottom w:val="single" w:color="C9CED6" w:sz="1"/>
              <w:right w:val="single" w:color="C9CED6" w:sz="1"/>
            </w:tcBorders>
            <w:shd w:fill="F7F8FA" w:val="clear"/>
            <w:tcMar>
              <w:top w:type="dxa" w:w="60"/>
              <w:left w:type="dxa" w:w="110"/>
              <w:bottom w:type="dxa" w:w="60"/>
              <w:right w:type="dxa" w:w="110"/>
            </w:tcMar>
          </w:tcPr>
          <w:p>
            <w:r>
              <w:rPr>
                <w:sz w:val="20"/>
                <w:szCs w:val="20"/>
              </w:rPr>
              <w:t xml:space="preserve">Upsert key duplicated in request body (400 risk on non-writable keys)</w:t>
            </w:r>
          </w:p>
        </w:tc>
        <w:tc>
          <w:tcPr>
            <w:tcW w:type="dxa" w:w="2827"/>
            <w:tcBorders>
              <w:top w:val="single" w:color="C9CED6" w:sz="1"/>
              <w:left w:val="single" w:color="C9CED6" w:sz="1"/>
              <w:bottom w:val="single" w:color="C9CED6" w:sz="1"/>
              <w:right w:val="single" w:color="C9CED6" w:sz="1"/>
            </w:tcBorders>
            <w:shd w:fill="F7F8FA" w:val="clear"/>
            <w:tcMar>
              <w:top w:type="dxa" w:w="60"/>
              <w:left w:type="dxa" w:w="110"/>
              <w:bottom w:type="dxa" w:w="60"/>
              <w:right w:type="dxa" w:w="110"/>
            </w:tcMar>
          </w:tcPr>
          <w:p>
            <w:r>
              <w:rPr>
                <w:sz w:val="20"/>
                <w:szCs w:val="20"/>
              </w:rPr>
              <w:t xml:space="preserve">Key is URL-only; content script strips it as defense</w:t>
            </w:r>
          </w:p>
        </w:tc>
        <w:tc>
          <w:tcPr>
            <w:tcW w:type="dxa" w:w="981"/>
            <w:tcBorders>
              <w:top w:val="single" w:color="C9CED6" w:sz="1"/>
              <w:left w:val="single" w:color="C9CED6" w:sz="1"/>
              <w:bottom w:val="single" w:color="C9CED6" w:sz="1"/>
              <w:right w:val="single" w:color="C9CED6" w:sz="1"/>
            </w:tcBorders>
            <w:shd w:fill="F7F8FA" w:val="clear"/>
            <w:tcMar>
              <w:top w:type="dxa" w:w="60"/>
              <w:left w:type="dxa" w:w="110"/>
              <w:bottom w:type="dxa" w:w="60"/>
              <w:right w:type="dxa" w:w="110"/>
            </w:tcMar>
          </w:tcPr>
          <w:p>
            <w:r>
              <w:rPr>
                <w:sz w:val="20"/>
                <w:szCs w:val="20"/>
              </w:rPr>
              <w:t xml:space="preserve">1.10.21</w:t>
            </w:r>
          </w:p>
        </w:tc>
      </w:tr>
      <w:tr>
        <w:tc>
          <w:tcPr>
            <w:tcW w:type="dxa" w:w="543"/>
            <w:tcBorders>
              <w:top w:val="single" w:color="C9CED6" w:sz="1"/>
              <w:left w:val="single" w:color="C9CED6" w:sz="1"/>
              <w:bottom w:val="single" w:color="C9CED6" w:sz="1"/>
              <w:right w:val="single" w:color="C9CED6" w:sz="1"/>
            </w:tcBorders>
            <w:shd w:fill="FFFFFF" w:val="clear"/>
            <w:tcMar>
              <w:top w:type="dxa" w:w="60"/>
              <w:left w:type="dxa" w:w="110"/>
              <w:bottom w:type="dxa" w:w="60"/>
              <w:right w:type="dxa" w:w="110"/>
            </w:tcMar>
          </w:tcPr>
          <w:p>
            <w:r>
              <w:rPr>
                <w:sz w:val="20"/>
                <w:szCs w:val="20"/>
              </w:rPr>
              <w:t xml:space="preserve">9</w:t>
            </w:r>
          </w:p>
        </w:tc>
        <w:tc>
          <w:tcPr>
            <w:tcW w:type="dxa" w:w="1196"/>
            <w:tcBorders>
              <w:top w:val="single" w:color="C9CED6" w:sz="1"/>
              <w:left w:val="single" w:color="C9CED6" w:sz="1"/>
              <w:bottom w:val="single" w:color="C9CED6" w:sz="1"/>
              <w:right w:val="single" w:color="C9CED6" w:sz="1"/>
            </w:tcBorders>
            <w:shd w:fill="FFFFFF" w:val="clear"/>
            <w:tcMar>
              <w:top w:type="dxa" w:w="60"/>
              <w:left w:type="dxa" w:w="110"/>
              <w:bottom w:type="dxa" w:w="60"/>
              <w:right w:type="dxa" w:w="110"/>
            </w:tcMar>
          </w:tcPr>
          <w:p>
            <w:r>
              <w:rPr>
                <w:sz w:val="20"/>
                <w:szCs w:val="20"/>
              </w:rPr>
              <w:t xml:space="preserve">HIGH (review)</w:t>
            </w:r>
          </w:p>
        </w:tc>
        <w:tc>
          <w:tcPr>
            <w:tcW w:type="dxa" w:w="3479"/>
            <w:tcBorders>
              <w:top w:val="single" w:color="C9CED6" w:sz="1"/>
              <w:left w:val="single" w:color="C9CED6" w:sz="1"/>
              <w:bottom w:val="single" w:color="C9CED6" w:sz="1"/>
              <w:right w:val="single" w:color="C9CED6" w:sz="1"/>
            </w:tcBorders>
            <w:shd w:fill="FFFFFF" w:val="clear"/>
            <w:tcMar>
              <w:top w:type="dxa" w:w="60"/>
              <w:left w:type="dxa" w:w="110"/>
              <w:bottom w:type="dxa" w:w="60"/>
              <w:right w:type="dxa" w:w="110"/>
            </w:tcMar>
          </w:tcPr>
          <w:p>
            <w:r>
              <w:rPr>
                <w:sz w:val="20"/>
                <w:szCs w:val="20"/>
              </w:rPr>
              <w:t xml:space="preserve">XLSX export guard regression turned numbers into text (SUM()=0)</w:t>
            </w:r>
          </w:p>
        </w:tc>
        <w:tc>
          <w:tcPr>
            <w:tcW w:type="dxa" w:w="2827"/>
            <w:tcBorders>
              <w:top w:val="single" w:color="C9CED6" w:sz="1"/>
              <w:left w:val="single" w:color="C9CED6" w:sz="1"/>
              <w:bottom w:val="single" w:color="C9CED6" w:sz="1"/>
              <w:right w:val="single" w:color="C9CED6" w:sz="1"/>
            </w:tcBorders>
            <w:shd w:fill="FFFFFF" w:val="clear"/>
            <w:tcMar>
              <w:top w:type="dxa" w:w="60"/>
              <w:left w:type="dxa" w:w="110"/>
              <w:bottom w:type="dxa" w:w="60"/>
              <w:right w:type="dxa" w:w="110"/>
            </w:tcMar>
          </w:tcPr>
          <w:p>
            <w:r>
              <w:rPr>
                <w:sz w:val="20"/>
                <w:szCs w:val="20"/>
              </w:rPr>
              <w:t xml:space="preserve">Raw typed cells restored — guard correctly scoped to CSV only</w:t>
            </w:r>
          </w:p>
        </w:tc>
        <w:tc>
          <w:tcPr>
            <w:tcW w:type="dxa" w:w="981"/>
            <w:tcBorders>
              <w:top w:val="single" w:color="C9CED6" w:sz="1"/>
              <w:left w:val="single" w:color="C9CED6" w:sz="1"/>
              <w:bottom w:val="single" w:color="C9CED6" w:sz="1"/>
              <w:right w:val="single" w:color="C9CED6" w:sz="1"/>
            </w:tcBorders>
            <w:shd w:fill="FFFFFF" w:val="clear"/>
            <w:tcMar>
              <w:top w:type="dxa" w:w="60"/>
              <w:left w:type="dxa" w:w="110"/>
              <w:bottom w:type="dxa" w:w="60"/>
              <w:right w:type="dxa" w:w="110"/>
            </w:tcMar>
          </w:tcPr>
          <w:p>
            <w:r>
              <w:rPr>
                <w:sz w:val="20"/>
                <w:szCs w:val="20"/>
              </w:rPr>
              <w:t xml:space="preserve">1.10.25</w:t>
            </w:r>
          </w:p>
        </w:tc>
      </w:tr>
      <w:tr>
        <w:tc>
          <w:tcPr>
            <w:tcW w:type="dxa" w:w="543"/>
            <w:tcBorders>
              <w:top w:val="single" w:color="C9CED6" w:sz="1"/>
              <w:left w:val="single" w:color="C9CED6" w:sz="1"/>
              <w:bottom w:val="single" w:color="C9CED6" w:sz="1"/>
              <w:right w:val="single" w:color="C9CED6" w:sz="1"/>
            </w:tcBorders>
            <w:shd w:fill="F7F8FA" w:val="clear"/>
            <w:tcMar>
              <w:top w:type="dxa" w:w="60"/>
              <w:left w:type="dxa" w:w="110"/>
              <w:bottom w:type="dxa" w:w="60"/>
              <w:right w:type="dxa" w:w="110"/>
            </w:tcMar>
          </w:tcPr>
          <w:p>
            <w:r>
              <w:rPr>
                <w:sz w:val="20"/>
                <w:szCs w:val="20"/>
              </w:rPr>
              <w:t xml:space="preserve">10</w:t>
            </w:r>
          </w:p>
        </w:tc>
        <w:tc>
          <w:tcPr>
            <w:tcW w:type="dxa" w:w="1196"/>
            <w:tcBorders>
              <w:top w:val="single" w:color="C9CED6" w:sz="1"/>
              <w:left w:val="single" w:color="C9CED6" w:sz="1"/>
              <w:bottom w:val="single" w:color="C9CED6" w:sz="1"/>
              <w:right w:val="single" w:color="C9CED6" w:sz="1"/>
            </w:tcBorders>
            <w:shd w:fill="F7F8FA" w:val="clear"/>
            <w:tcMar>
              <w:top w:type="dxa" w:w="60"/>
              <w:left w:type="dxa" w:w="110"/>
              <w:bottom w:type="dxa" w:w="60"/>
              <w:right w:type="dxa" w:w="110"/>
            </w:tcMar>
          </w:tcPr>
          <w:p>
            <w:r>
              <w:rPr>
                <w:sz w:val="20"/>
                <w:szCs w:val="20"/>
              </w:rPr>
              <w:t xml:space="preserve">HIGH (review)</w:t>
            </w:r>
          </w:p>
        </w:tc>
        <w:tc>
          <w:tcPr>
            <w:tcW w:type="dxa" w:w="3479"/>
            <w:tcBorders>
              <w:top w:val="single" w:color="C9CED6" w:sz="1"/>
              <w:left w:val="single" w:color="C9CED6" w:sz="1"/>
              <w:bottom w:val="single" w:color="C9CED6" w:sz="1"/>
              <w:right w:val="single" w:color="C9CED6" w:sz="1"/>
            </w:tcBorders>
            <w:shd w:fill="F7F8FA" w:val="clear"/>
            <w:tcMar>
              <w:top w:type="dxa" w:w="60"/>
              <w:left w:type="dxa" w:w="110"/>
              <w:bottom w:type="dxa" w:w="60"/>
              <w:right w:type="dxa" w:w="110"/>
            </w:tcMar>
          </w:tcPr>
          <w:p>
            <w:r>
              <w:rPr>
                <w:sz w:val="20"/>
                <w:szCs w:val="20"/>
              </w:rPr>
              <w:t xml:space="preserve">RFC-4180 rewrite dropped value trimming — stray spaces in keys could create duplicates in UPSERT</w:t>
            </w:r>
          </w:p>
        </w:tc>
        <w:tc>
          <w:tcPr>
            <w:tcW w:type="dxa" w:w="2827"/>
            <w:tcBorders>
              <w:top w:val="single" w:color="C9CED6" w:sz="1"/>
              <w:left w:val="single" w:color="C9CED6" w:sz="1"/>
              <w:bottom w:val="single" w:color="C9CED6" w:sz="1"/>
              <w:right w:val="single" w:color="C9CED6" w:sz="1"/>
            </w:tcBorders>
            <w:shd w:fill="F7F8FA" w:val="clear"/>
            <w:tcMar>
              <w:top w:type="dxa" w:w="60"/>
              <w:left w:type="dxa" w:w="110"/>
              <w:bottom w:type="dxa" w:w="60"/>
              <w:right w:type="dxa" w:w="110"/>
            </w:tcMar>
          </w:tcPr>
          <w:p>
            <w:r>
              <w:rPr>
                <w:sz w:val="20"/>
                <w:szCs w:val="20"/>
              </w:rPr>
              <w:t xml:space="preserve">Trim restored at ingestion; normalization both sides of existence check</w:t>
            </w:r>
          </w:p>
        </w:tc>
        <w:tc>
          <w:tcPr>
            <w:tcW w:type="dxa" w:w="981"/>
            <w:tcBorders>
              <w:top w:val="single" w:color="C9CED6" w:sz="1"/>
              <w:left w:val="single" w:color="C9CED6" w:sz="1"/>
              <w:bottom w:val="single" w:color="C9CED6" w:sz="1"/>
              <w:right w:val="single" w:color="C9CED6" w:sz="1"/>
            </w:tcBorders>
            <w:shd w:fill="F7F8FA" w:val="clear"/>
            <w:tcMar>
              <w:top w:type="dxa" w:w="60"/>
              <w:left w:type="dxa" w:w="110"/>
              <w:bottom w:type="dxa" w:w="60"/>
              <w:right w:type="dxa" w:w="110"/>
            </w:tcMar>
          </w:tcPr>
          <w:p>
            <w:r>
              <w:rPr>
                <w:sz w:val="20"/>
                <w:szCs w:val="20"/>
              </w:rPr>
              <w:t xml:space="preserve">1.10.25</w:t>
            </w:r>
          </w:p>
        </w:tc>
      </w:tr>
      <w:tr>
        <w:tc>
          <w:tcPr>
            <w:tcW w:type="dxa" w:w="543"/>
            <w:tcBorders>
              <w:top w:val="single" w:color="C9CED6" w:sz="1"/>
              <w:left w:val="single" w:color="C9CED6" w:sz="1"/>
              <w:bottom w:val="single" w:color="C9CED6" w:sz="1"/>
              <w:right w:val="single" w:color="C9CED6" w:sz="1"/>
            </w:tcBorders>
            <w:shd w:fill="FFFFFF" w:val="clear"/>
            <w:tcMar>
              <w:top w:type="dxa" w:w="60"/>
              <w:left w:type="dxa" w:w="110"/>
              <w:bottom w:type="dxa" w:w="60"/>
              <w:right w:type="dxa" w:w="110"/>
            </w:tcMar>
          </w:tcPr>
          <w:p>
            <w:r>
              <w:rPr>
                <w:sz w:val="20"/>
                <w:szCs w:val="20"/>
              </w:rPr>
              <w:t xml:space="preserve">11</w:t>
            </w:r>
          </w:p>
        </w:tc>
        <w:tc>
          <w:tcPr>
            <w:tcW w:type="dxa" w:w="1196"/>
            <w:tcBorders>
              <w:top w:val="single" w:color="C9CED6" w:sz="1"/>
              <w:left w:val="single" w:color="C9CED6" w:sz="1"/>
              <w:bottom w:val="single" w:color="C9CED6" w:sz="1"/>
              <w:right w:val="single" w:color="C9CED6" w:sz="1"/>
            </w:tcBorders>
            <w:shd w:fill="FFFFFF" w:val="clear"/>
            <w:tcMar>
              <w:top w:type="dxa" w:w="60"/>
              <w:left w:type="dxa" w:w="110"/>
              <w:bottom w:type="dxa" w:w="60"/>
              <w:right w:type="dxa" w:w="110"/>
            </w:tcMar>
          </w:tcPr>
          <w:p>
            <w:r>
              <w:rPr>
                <w:sz w:val="20"/>
                <w:szCs w:val="20"/>
              </w:rPr>
              <w:t xml:space="preserve">MED (review)</w:t>
            </w:r>
          </w:p>
        </w:tc>
        <w:tc>
          <w:tcPr>
            <w:tcW w:type="dxa" w:w="3479"/>
            <w:tcBorders>
              <w:top w:val="single" w:color="C9CED6" w:sz="1"/>
              <w:left w:val="single" w:color="C9CED6" w:sz="1"/>
              <w:bottom w:val="single" w:color="C9CED6" w:sz="1"/>
              <w:right w:val="single" w:color="C9CED6" w:sz="1"/>
            </w:tcBorders>
            <w:shd w:fill="FFFFFF" w:val="clear"/>
            <w:tcMar>
              <w:top w:type="dxa" w:w="60"/>
              <w:left w:type="dxa" w:w="110"/>
              <w:bottom w:type="dxa" w:w="60"/>
              <w:right w:type="dxa" w:w="110"/>
            </w:tcMar>
          </w:tcPr>
          <w:p>
            <w:r>
              <w:rPr>
                <w:sz w:val="20"/>
                <w:szCs w:val="20"/>
              </w:rPr>
              <w:t xml:space="preserve">Digit-prefixed picklist labels ("3 - Hot") truncated by parseInt to wrong option</w:t>
            </w:r>
          </w:p>
        </w:tc>
        <w:tc>
          <w:tcPr>
            <w:tcW w:type="dxa" w:w="2827"/>
            <w:tcBorders>
              <w:top w:val="single" w:color="C9CED6" w:sz="1"/>
              <w:left w:val="single" w:color="C9CED6" w:sz="1"/>
              <w:bottom w:val="single" w:color="C9CED6" w:sz="1"/>
              <w:right w:val="single" w:color="C9CED6" w:sz="1"/>
            </w:tcBorders>
            <w:shd w:fill="FFFFFF" w:val="clear"/>
            <w:tcMar>
              <w:top w:type="dxa" w:w="60"/>
              <w:left w:type="dxa" w:w="110"/>
              <w:bottom w:type="dxa" w:w="60"/>
              <w:right w:type="dxa" w:w="110"/>
            </w:tcMar>
          </w:tcPr>
          <w:p>
            <w:r>
              <w:rPr>
                <w:sz w:val="20"/>
                <w:szCs w:val="20"/>
              </w:rPr>
              <w:t xml:space="preserve">Label lookup before strict numeric passthrough; unmatched labels reported</w:t>
            </w:r>
          </w:p>
        </w:tc>
        <w:tc>
          <w:tcPr>
            <w:tcW w:type="dxa" w:w="981"/>
            <w:tcBorders>
              <w:top w:val="single" w:color="C9CED6" w:sz="1"/>
              <w:left w:val="single" w:color="C9CED6" w:sz="1"/>
              <w:bottom w:val="single" w:color="C9CED6" w:sz="1"/>
              <w:right w:val="single" w:color="C9CED6" w:sz="1"/>
            </w:tcBorders>
            <w:shd w:fill="FFFFFF" w:val="clear"/>
            <w:tcMar>
              <w:top w:type="dxa" w:w="60"/>
              <w:left w:type="dxa" w:w="110"/>
              <w:bottom w:type="dxa" w:w="60"/>
              <w:right w:type="dxa" w:w="110"/>
            </w:tcMar>
          </w:tcPr>
          <w:p>
            <w:r>
              <w:rPr>
                <w:sz w:val="20"/>
                <w:szCs w:val="20"/>
              </w:rPr>
              <w:t xml:space="preserve">1.10.25</w:t>
            </w:r>
          </w:p>
        </w:tc>
      </w:tr>
      <w:tr>
        <w:tc>
          <w:tcPr>
            <w:tcW w:type="dxa" w:w="543"/>
            <w:tcBorders>
              <w:top w:val="single" w:color="C9CED6" w:sz="1"/>
              <w:left w:val="single" w:color="C9CED6" w:sz="1"/>
              <w:bottom w:val="single" w:color="C9CED6" w:sz="1"/>
              <w:right w:val="single" w:color="C9CED6" w:sz="1"/>
            </w:tcBorders>
            <w:shd w:fill="F7F8FA" w:val="clear"/>
            <w:tcMar>
              <w:top w:type="dxa" w:w="60"/>
              <w:left w:type="dxa" w:w="110"/>
              <w:bottom w:type="dxa" w:w="60"/>
              <w:right w:type="dxa" w:w="110"/>
            </w:tcMar>
          </w:tcPr>
          <w:p>
            <w:r>
              <w:rPr>
                <w:sz w:val="20"/>
                <w:szCs w:val="20"/>
              </w:rPr>
              <w:t xml:space="preserve">12</w:t>
            </w:r>
          </w:p>
        </w:tc>
        <w:tc>
          <w:tcPr>
            <w:tcW w:type="dxa" w:w="1196"/>
            <w:tcBorders>
              <w:top w:val="single" w:color="C9CED6" w:sz="1"/>
              <w:left w:val="single" w:color="C9CED6" w:sz="1"/>
              <w:bottom w:val="single" w:color="C9CED6" w:sz="1"/>
              <w:right w:val="single" w:color="C9CED6" w:sz="1"/>
            </w:tcBorders>
            <w:shd w:fill="F7F8FA" w:val="clear"/>
            <w:tcMar>
              <w:top w:type="dxa" w:w="60"/>
              <w:left w:type="dxa" w:w="110"/>
              <w:bottom w:type="dxa" w:w="60"/>
              <w:right w:type="dxa" w:w="110"/>
            </w:tcMar>
          </w:tcPr>
          <w:p>
            <w:r>
              <w:rPr>
                <w:sz w:val="20"/>
                <w:szCs w:val="20"/>
              </w:rPr>
              <w:t xml:space="preserve">MED (review)</w:t>
            </w:r>
          </w:p>
        </w:tc>
        <w:tc>
          <w:tcPr>
            <w:tcW w:type="dxa" w:w="3479"/>
            <w:tcBorders>
              <w:top w:val="single" w:color="C9CED6" w:sz="1"/>
              <w:left w:val="single" w:color="C9CED6" w:sz="1"/>
              <w:bottom w:val="single" w:color="C9CED6" w:sz="1"/>
              <w:right w:val="single" w:color="C9CED6" w:sz="1"/>
            </w:tcBorders>
            <w:shd w:fill="F7F8FA" w:val="clear"/>
            <w:tcMar>
              <w:top w:type="dxa" w:w="60"/>
              <w:left w:type="dxa" w:w="110"/>
              <w:bottom w:type="dxa" w:w="60"/>
              <w:right w:type="dxa" w:w="110"/>
            </w:tcMar>
          </w:tcPr>
          <w:p>
            <w:r>
              <w:rPr>
                <w:sz w:val="20"/>
                <w:szCs w:val="20"/>
              </w:rPr>
              <w:t xml:space="preserve">Cancel didn't reach in-flight 429 retries — writes could continue after cancel</w:t>
            </w:r>
          </w:p>
        </w:tc>
        <w:tc>
          <w:tcPr>
            <w:tcW w:type="dxa" w:w="2827"/>
            <w:tcBorders>
              <w:top w:val="single" w:color="C9CED6" w:sz="1"/>
              <w:left w:val="single" w:color="C9CED6" w:sz="1"/>
              <w:bottom w:val="single" w:color="C9CED6" w:sz="1"/>
              <w:right w:val="single" w:color="C9CED6" w:sz="1"/>
            </w:tcBorders>
            <w:shd w:fill="F7F8FA" w:val="clear"/>
            <w:tcMar>
              <w:top w:type="dxa" w:w="60"/>
              <w:left w:type="dxa" w:w="110"/>
              <w:bottom w:type="dxa" w:w="60"/>
              <w:right w:type="dxa" w:w="110"/>
            </w:tcMar>
          </w:tcPr>
          <w:p>
            <w:r>
              <w:rPr>
                <w:sz w:val="20"/>
                <w:szCs w:val="20"/>
              </w:rPr>
              <w:t xml:space="preserve">Run-scoped abort flag in content script; retries and chunks stop immediately</w:t>
            </w:r>
          </w:p>
        </w:tc>
        <w:tc>
          <w:tcPr>
            <w:tcW w:type="dxa" w:w="981"/>
            <w:tcBorders>
              <w:top w:val="single" w:color="C9CED6" w:sz="1"/>
              <w:left w:val="single" w:color="C9CED6" w:sz="1"/>
              <w:bottom w:val="single" w:color="C9CED6" w:sz="1"/>
              <w:right w:val="single" w:color="C9CED6" w:sz="1"/>
            </w:tcBorders>
            <w:shd w:fill="F7F8FA" w:val="clear"/>
            <w:tcMar>
              <w:top w:type="dxa" w:w="60"/>
              <w:left w:type="dxa" w:w="110"/>
              <w:bottom w:type="dxa" w:w="60"/>
              <w:right w:type="dxa" w:w="110"/>
            </w:tcMar>
          </w:tcPr>
          <w:p>
            <w:r>
              <w:rPr>
                <w:sz w:val="20"/>
                <w:szCs w:val="20"/>
              </w:rPr>
              <w:t xml:space="preserve">1.10.25</w:t>
            </w:r>
          </w:p>
        </w:tc>
      </w:tr>
      <w:tr>
        <w:tc>
          <w:tcPr>
            <w:tcW w:type="dxa" w:w="543"/>
            <w:tcBorders>
              <w:top w:val="single" w:color="C9CED6" w:sz="1"/>
              <w:left w:val="single" w:color="C9CED6" w:sz="1"/>
              <w:bottom w:val="single" w:color="C9CED6" w:sz="1"/>
              <w:right w:val="single" w:color="C9CED6" w:sz="1"/>
            </w:tcBorders>
            <w:shd w:fill="FFFFFF" w:val="clear"/>
            <w:tcMar>
              <w:top w:type="dxa" w:w="60"/>
              <w:left w:type="dxa" w:w="110"/>
              <w:bottom w:type="dxa" w:w="60"/>
              <w:right w:type="dxa" w:w="110"/>
            </w:tcMar>
          </w:tcPr>
          <w:p>
            <w:r>
              <w:rPr>
                <w:sz w:val="20"/>
                <w:szCs w:val="20"/>
              </w:rPr>
              <w:t xml:space="preserve">13</w:t>
            </w:r>
          </w:p>
        </w:tc>
        <w:tc>
          <w:tcPr>
            <w:tcW w:type="dxa" w:w="1196"/>
            <w:tcBorders>
              <w:top w:val="single" w:color="C9CED6" w:sz="1"/>
              <w:left w:val="single" w:color="C9CED6" w:sz="1"/>
              <w:bottom w:val="single" w:color="C9CED6" w:sz="1"/>
              <w:right w:val="single" w:color="C9CED6" w:sz="1"/>
            </w:tcBorders>
            <w:shd w:fill="FFFFFF" w:val="clear"/>
            <w:tcMar>
              <w:top w:type="dxa" w:w="60"/>
              <w:left w:type="dxa" w:w="110"/>
              <w:bottom w:type="dxa" w:w="60"/>
              <w:right w:type="dxa" w:w="110"/>
            </w:tcMar>
          </w:tcPr>
          <w:p>
            <w:r>
              <w:rPr>
                <w:sz w:val="20"/>
                <w:szCs w:val="20"/>
              </w:rPr>
              <w:t xml:space="preserve">MED (review)</w:t>
            </w:r>
          </w:p>
        </w:tc>
        <w:tc>
          <w:tcPr>
            <w:tcW w:type="dxa" w:w="3479"/>
            <w:tcBorders>
              <w:top w:val="single" w:color="C9CED6" w:sz="1"/>
              <w:left w:val="single" w:color="C9CED6" w:sz="1"/>
              <w:bottom w:val="single" w:color="C9CED6" w:sz="1"/>
              <w:right w:val="single" w:color="C9CED6" w:sz="1"/>
            </w:tcBorders>
            <w:shd w:fill="FFFFFF" w:val="clear"/>
            <w:tcMar>
              <w:top w:type="dxa" w:w="60"/>
              <w:left w:type="dxa" w:w="110"/>
              <w:bottom w:type="dxa" w:w="60"/>
              <w:right w:type="dxa" w:w="110"/>
            </w:tcMar>
          </w:tcPr>
          <w:p>
            <w:r>
              <w:rPr>
                <w:sz w:val="20"/>
                <w:szCs w:val="20"/>
              </w:rPr>
              <w:t xml:space="preserve">date transform produced invalid ISO with time components</w:t>
            </w:r>
          </w:p>
        </w:tc>
        <w:tc>
          <w:tcPr>
            <w:tcW w:type="dxa" w:w="2827"/>
            <w:tcBorders>
              <w:top w:val="single" w:color="C9CED6" w:sz="1"/>
              <w:left w:val="single" w:color="C9CED6" w:sz="1"/>
              <w:bottom w:val="single" w:color="C9CED6" w:sz="1"/>
              <w:right w:val="single" w:color="C9CED6" w:sz="1"/>
            </w:tcBorders>
            <w:shd w:fill="FFFFFF" w:val="clear"/>
            <w:tcMar>
              <w:top w:type="dxa" w:w="60"/>
              <w:left w:type="dxa" w:w="110"/>
              <w:bottom w:type="dxa" w:w="60"/>
              <w:right w:type="dxa" w:w="110"/>
            </w:tcMar>
          </w:tcPr>
          <w:p>
            <w:r>
              <w:rPr>
                <w:sz w:val="20"/>
                <w:szCs w:val="20"/>
              </w:rPr>
              <w:t xml:space="preserve">Proper time parsing (24h/AM-PM), US format auto-detect</w:t>
            </w:r>
          </w:p>
        </w:tc>
        <w:tc>
          <w:tcPr>
            <w:tcW w:type="dxa" w:w="981"/>
            <w:tcBorders>
              <w:top w:val="single" w:color="C9CED6" w:sz="1"/>
              <w:left w:val="single" w:color="C9CED6" w:sz="1"/>
              <w:bottom w:val="single" w:color="C9CED6" w:sz="1"/>
              <w:right w:val="single" w:color="C9CED6" w:sz="1"/>
            </w:tcBorders>
            <w:shd w:fill="FFFFFF" w:val="clear"/>
            <w:tcMar>
              <w:top w:type="dxa" w:w="60"/>
              <w:left w:type="dxa" w:w="110"/>
              <w:bottom w:type="dxa" w:w="60"/>
              <w:right w:type="dxa" w:w="110"/>
            </w:tcMar>
          </w:tcPr>
          <w:p>
            <w:r>
              <w:rPr>
                <w:sz w:val="20"/>
                <w:szCs w:val="20"/>
              </w:rPr>
              <w:t xml:space="preserve">1.10.25</w:t>
            </w:r>
          </w:p>
        </w:tc>
      </w:tr>
    </w:tbl>
    <w:p>
      <w:r>
        <w:br w:type="page"/>
      </w:r>
    </w:p>
    <w:p>
      <w:pPr>
        <w:pStyle w:val="Heading1"/>
      </w:pPr>
      <w:r>
        <w:t xml:space="preserve">6. Local storage inventory</w:t>
      </w:r>
    </w:p>
    <w:p>
      <w:pPr>
        <w:spacing w:after="120"/>
      </w:pPr>
      <w:r>
        <w:t xml:space="preserve">Everything Colvio persists, all local to the browser (</w:t>
      </w:r>
      <w:r>
        <w:rPr>
          <w:rFonts w:ascii="Consolas" w:cs="Consolas" w:eastAsia="Consolas" w:hAnsi="Consolas"/>
          <w:color w:val="0E7490"/>
          <w:sz w:val="19"/>
          <w:szCs w:val="19"/>
        </w:rPr>
        <w:t xml:space="preserve">chrome.storage.local</w:t>
      </w:r>
      <w:r>
        <w:t xml:space="preserve"> / </w:t>
      </w:r>
      <w:r>
        <w:rPr>
          <w:rFonts w:ascii="Consolas" w:cs="Consolas" w:eastAsia="Consolas" w:hAnsi="Consolas"/>
          <w:color w:val="0E7490"/>
          <w:sz w:val="19"/>
          <w:szCs w:val="19"/>
        </w:rPr>
        <w:t xml:space="preserve">localStorage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1"/>
        <w:gridCol w:w="3008"/>
        <w:gridCol w:w="3557"/>
      </w:tblGrid>
      <w:tr>
        <w:trPr>
          <w:tblHeader/>
        </w:trPr>
        <w:tc>
          <w:tcPr>
            <w:tcW w:type="dxa" w:w="2461"/>
            <w:tcBorders>
              <w:top w:val="single" w:color="C9CED6" w:sz="1"/>
              <w:left w:val="single" w:color="C9CED6" w:sz="1"/>
              <w:bottom w:val="single" w:color="C9CED6" w:sz="1"/>
              <w:right w:val="single" w:color="C9CED6" w:sz="1"/>
            </w:tcBorders>
            <w:shd w:fill="EEEAFB" w:val="clear"/>
            <w:tcMar>
              <w:top w:type="dxa" w:w="60"/>
              <w:left w:type="dxa" w:w="110"/>
              <w:bottom w:type="dxa" w:w="60"/>
              <w:right w:type="dxa" w:w="110"/>
            </w:tcMar>
          </w:tcPr>
          <w:p>
            <w:r>
              <w:rPr>
                <w:b/>
                <w:bCs/>
                <w:sz w:val="20"/>
                <w:szCs w:val="20"/>
              </w:rPr>
              <w:t xml:space="preserve">Key family</w:t>
            </w:r>
          </w:p>
        </w:tc>
        <w:tc>
          <w:tcPr>
            <w:tcW w:type="dxa" w:w="3008"/>
            <w:tcBorders>
              <w:top w:val="single" w:color="C9CED6" w:sz="1"/>
              <w:left w:val="single" w:color="C9CED6" w:sz="1"/>
              <w:bottom w:val="single" w:color="C9CED6" w:sz="1"/>
              <w:right w:val="single" w:color="C9CED6" w:sz="1"/>
            </w:tcBorders>
            <w:shd w:fill="EEEAFB" w:val="clear"/>
            <w:tcMar>
              <w:top w:type="dxa" w:w="60"/>
              <w:left w:type="dxa" w:w="110"/>
              <w:bottom w:type="dxa" w:w="60"/>
              <w:right w:type="dxa" w:w="110"/>
            </w:tcMar>
          </w:tcPr>
          <w:p>
            <w:r>
              <w:rPr>
                <w:b/>
                <w:bCs/>
                <w:sz w:val="20"/>
                <w:szCs w:val="20"/>
              </w:rPr>
              <w:t xml:space="preserve">Contents</w:t>
            </w:r>
          </w:p>
        </w:tc>
        <w:tc>
          <w:tcPr>
            <w:tcW w:type="dxa" w:w="3557"/>
            <w:tcBorders>
              <w:top w:val="single" w:color="C9CED6" w:sz="1"/>
              <w:left w:val="single" w:color="C9CED6" w:sz="1"/>
              <w:bottom w:val="single" w:color="C9CED6" w:sz="1"/>
              <w:right w:val="single" w:color="C9CED6" w:sz="1"/>
            </w:tcBorders>
            <w:shd w:fill="EEEAFB" w:val="clear"/>
            <w:tcMar>
              <w:top w:type="dxa" w:w="60"/>
              <w:left w:type="dxa" w:w="110"/>
              <w:bottom w:type="dxa" w:w="60"/>
              <w:right w:type="dxa" w:w="110"/>
            </w:tcMar>
          </w:tcPr>
          <w:p>
            <w:r>
              <w:rPr>
                <w:b/>
                <w:bCs/>
                <w:sz w:val="20"/>
                <w:szCs w:val="20"/>
              </w:rPr>
              <w:t xml:space="preserve">Sensitivity &amp; mitigation</w:t>
            </w:r>
          </w:p>
        </w:tc>
      </w:tr>
      <w:tr>
        <w:tc>
          <w:tcPr>
            <w:tcW w:type="dxa" w:w="2461"/>
            <w:tcBorders>
              <w:top w:val="single" w:color="C9CED6" w:sz="1"/>
              <w:left w:val="single" w:color="C9CED6" w:sz="1"/>
              <w:bottom w:val="single" w:color="C9CED6" w:sz="1"/>
              <w:right w:val="single" w:color="C9CED6" w:sz="1"/>
            </w:tcBorders>
            <w:shd w:fill="FFFFFF" w:val="clear"/>
            <w:tcMar>
              <w:top w:type="dxa" w:w="60"/>
              <w:left w:type="dxa" w:w="110"/>
              <w:bottom w:type="dxa" w:w="60"/>
              <w:right w:type="dxa" w:w="110"/>
            </w:tcMar>
          </w:tcPr>
          <w:p>
            <w:r>
              <w:rPr>
                <w:rFonts w:ascii="Consolas" w:cs="Consolas" w:eastAsia="Consolas" w:hAnsi="Consolas"/>
                <w:color w:val="0E7490"/>
                <w:sz w:val="20"/>
                <w:szCs w:val="20"/>
              </w:rPr>
              <w:t xml:space="preserve">d365_cache_&lt;org&gt;_*</w:t>
            </w:r>
          </w:p>
        </w:tc>
        <w:tc>
          <w:tcPr>
            <w:tcW w:type="dxa" w:w="3008"/>
            <w:tcBorders>
              <w:top w:val="single" w:color="C9CED6" w:sz="1"/>
              <w:left w:val="single" w:color="C9CED6" w:sz="1"/>
              <w:bottom w:val="single" w:color="C9CED6" w:sz="1"/>
              <w:right w:val="single" w:color="C9CED6" w:sz="1"/>
            </w:tcBorders>
            <w:shd w:fill="FFFFFF" w:val="clear"/>
            <w:tcMar>
              <w:top w:type="dxa" w:w="60"/>
              <w:left w:type="dxa" w:w="110"/>
              <w:bottom w:type="dxa" w:w="60"/>
              <w:right w:type="dxa" w:w="110"/>
            </w:tcMar>
          </w:tcPr>
          <w:p>
            <w:r>
              <w:rPr>
                <w:sz w:val="20"/>
                <w:szCs w:val="20"/>
              </w:rPr>
              <w:t xml:space="preserve">Entity/field/OptionSet metadata (TTL 1-24 h)</w:t>
            </w:r>
          </w:p>
        </w:tc>
        <w:tc>
          <w:tcPr>
            <w:tcW w:type="dxa" w:w="3557"/>
            <w:tcBorders>
              <w:top w:val="single" w:color="C9CED6" w:sz="1"/>
              <w:left w:val="single" w:color="C9CED6" w:sz="1"/>
              <w:bottom w:val="single" w:color="C9CED6" w:sz="1"/>
              <w:right w:val="single" w:color="C9CED6" w:sz="1"/>
            </w:tcBorders>
            <w:shd w:fill="FFFFFF" w:val="clear"/>
            <w:tcMar>
              <w:top w:type="dxa" w:w="60"/>
              <w:left w:type="dxa" w:w="110"/>
              <w:bottom w:type="dxa" w:w="60"/>
              <w:right w:type="dxa" w:w="110"/>
            </w:tcMar>
          </w:tcPr>
          <w:p>
            <w:r>
              <w:rPr>
                <w:sz w:val="20"/>
                <w:szCs w:val="20"/>
              </w:rPr>
              <w:t xml:space="preserve">No record data; org-scoped keys prevent cross-env bleed</w:t>
            </w:r>
          </w:p>
        </w:tc>
      </w:tr>
      <w:tr>
        <w:tc>
          <w:tcPr>
            <w:tcW w:type="dxa" w:w="2461"/>
            <w:tcBorders>
              <w:top w:val="single" w:color="C9CED6" w:sz="1"/>
              <w:left w:val="single" w:color="C9CED6" w:sz="1"/>
              <w:bottom w:val="single" w:color="C9CED6" w:sz="1"/>
              <w:right w:val="single" w:color="C9CED6" w:sz="1"/>
            </w:tcBorders>
            <w:shd w:fill="F7F8FA" w:val="clear"/>
            <w:tcMar>
              <w:top w:type="dxa" w:w="60"/>
              <w:left w:type="dxa" w:w="110"/>
              <w:bottom w:type="dxa" w:w="60"/>
              <w:right w:type="dxa" w:w="110"/>
            </w:tcMar>
          </w:tcPr>
          <w:p>
            <w:r>
              <w:rPr>
                <w:rFonts w:ascii="Consolas" w:cs="Consolas" w:eastAsia="Consolas" w:hAnsi="Consolas"/>
                <w:color w:val="0E7490"/>
                <w:sz w:val="20"/>
                <w:szCs w:val="20"/>
              </w:rPr>
              <w:t xml:space="preserve">d365_query_history</w:t>
            </w:r>
          </w:p>
        </w:tc>
        <w:tc>
          <w:tcPr>
            <w:tcW w:type="dxa" w:w="3008"/>
            <w:tcBorders>
              <w:top w:val="single" w:color="C9CED6" w:sz="1"/>
              <w:left w:val="single" w:color="C9CED6" w:sz="1"/>
              <w:bottom w:val="single" w:color="C9CED6" w:sz="1"/>
              <w:right w:val="single" w:color="C9CED6" w:sz="1"/>
            </w:tcBorders>
            <w:shd w:fill="F7F8FA" w:val="clear"/>
            <w:tcMar>
              <w:top w:type="dxa" w:w="60"/>
              <w:left w:type="dxa" w:w="110"/>
              <w:bottom w:type="dxa" w:w="60"/>
              <w:right w:type="dxa" w:w="110"/>
            </w:tcMar>
          </w:tcPr>
          <w:p>
            <w:r>
              <w:rPr>
                <w:sz w:val="20"/>
                <w:szCs w:val="20"/>
              </w:rPr>
              <w:t xml:space="preserve">Last 20 query strings</w:t>
            </w:r>
          </w:p>
        </w:tc>
        <w:tc>
          <w:tcPr>
            <w:tcW w:type="dxa" w:w="3557"/>
            <w:tcBorders>
              <w:top w:val="single" w:color="C9CED6" w:sz="1"/>
              <w:left w:val="single" w:color="C9CED6" w:sz="1"/>
              <w:bottom w:val="single" w:color="C9CED6" w:sz="1"/>
              <w:right w:val="single" w:color="C9CED6" w:sz="1"/>
            </w:tcBorders>
            <w:shd w:fill="F7F8FA" w:val="clear"/>
            <w:tcMar>
              <w:top w:type="dxa" w:w="60"/>
              <w:left w:type="dxa" w:w="110"/>
              <w:bottom w:type="dxa" w:w="60"/>
              <w:right w:type="dxa" w:w="110"/>
            </w:tcMar>
          </w:tcPr>
          <w:p>
            <w:r>
              <w:rPr>
                <w:sz w:val="20"/>
                <w:szCs w:val="20"/>
              </w:rPr>
              <w:t xml:space="preserve">Filter </w:t>
            </w:r>
            <w:r>
              <w:rPr>
                <w:b/>
                <w:bCs/>
                <w:sz w:val="20"/>
                <w:szCs w:val="20"/>
              </w:rPr>
              <w:t xml:space="preserve">values stripped</w:t>
            </w:r>
            <w:r>
              <w:rPr>
                <w:sz w:val="20"/>
                <w:szCs w:val="20"/>
              </w:rPr>
              <w:t xml:space="preserve"> before saving</w:t>
            </w:r>
          </w:p>
        </w:tc>
      </w:tr>
      <w:tr>
        <w:tc>
          <w:tcPr>
            <w:tcW w:type="dxa" w:w="2461"/>
            <w:tcBorders>
              <w:top w:val="single" w:color="C9CED6" w:sz="1"/>
              <w:left w:val="single" w:color="C9CED6" w:sz="1"/>
              <w:bottom w:val="single" w:color="C9CED6" w:sz="1"/>
              <w:right w:val="single" w:color="C9CED6" w:sz="1"/>
            </w:tcBorders>
            <w:shd w:fill="FFFFFF" w:val="clear"/>
            <w:tcMar>
              <w:top w:type="dxa" w:w="60"/>
              <w:left w:type="dxa" w:w="110"/>
              <w:bottom w:type="dxa" w:w="60"/>
              <w:right w:type="dxa" w:w="110"/>
            </w:tcMar>
          </w:tcPr>
          <w:p>
            <w:r>
              <w:rPr>
                <w:rFonts w:ascii="Consolas" w:cs="Consolas" w:eastAsia="Consolas" w:hAnsi="Consolas"/>
                <w:color w:val="0E7490"/>
                <w:sz w:val="20"/>
                <w:szCs w:val="20"/>
              </w:rPr>
              <w:t xml:space="preserve">d365_saved_queries</w:t>
            </w:r>
          </w:p>
        </w:tc>
        <w:tc>
          <w:tcPr>
            <w:tcW w:type="dxa" w:w="3008"/>
            <w:tcBorders>
              <w:top w:val="single" w:color="C9CED6" w:sz="1"/>
              <w:left w:val="single" w:color="C9CED6" w:sz="1"/>
              <w:bottom w:val="single" w:color="C9CED6" w:sz="1"/>
              <w:right w:val="single" w:color="C9CED6" w:sz="1"/>
            </w:tcBorders>
            <w:shd w:fill="FFFFFF" w:val="clear"/>
            <w:tcMar>
              <w:top w:type="dxa" w:w="60"/>
              <w:left w:type="dxa" w:w="110"/>
              <w:bottom w:type="dxa" w:w="60"/>
              <w:right w:type="dxa" w:w="110"/>
            </w:tcMar>
          </w:tcPr>
          <w:p>
            <w:r>
              <w:rPr>
                <w:sz w:val="20"/>
                <w:szCs w:val="20"/>
              </w:rPr>
              <w:t xml:space="preserve">User-saved query configs</w:t>
            </w:r>
          </w:p>
        </w:tc>
        <w:tc>
          <w:tcPr>
            <w:tcW w:type="dxa" w:w="3557"/>
            <w:tcBorders>
              <w:top w:val="single" w:color="C9CED6" w:sz="1"/>
              <w:left w:val="single" w:color="C9CED6" w:sz="1"/>
              <w:bottom w:val="single" w:color="C9CED6" w:sz="1"/>
              <w:right w:val="single" w:color="C9CED6" w:sz="1"/>
            </w:tcBorders>
            <w:shd w:fill="FFFFFF" w:val="clear"/>
            <w:tcMar>
              <w:top w:type="dxa" w:w="60"/>
              <w:left w:type="dxa" w:w="110"/>
              <w:bottom w:type="dxa" w:w="60"/>
              <w:right w:type="dxa" w:w="110"/>
            </w:tcMar>
          </w:tcPr>
          <w:p>
            <w:r>
              <w:rPr>
                <w:sz w:val="20"/>
                <w:szCs w:val="20"/>
              </w:rPr>
              <w:t xml:space="preserve">May contain filter values the user chose to save</w:t>
            </w:r>
          </w:p>
        </w:tc>
      </w:tr>
      <w:tr>
        <w:tc>
          <w:tcPr>
            <w:tcW w:type="dxa" w:w="2461"/>
            <w:tcBorders>
              <w:top w:val="single" w:color="C9CED6" w:sz="1"/>
              <w:left w:val="single" w:color="C9CED6" w:sz="1"/>
              <w:bottom w:val="single" w:color="C9CED6" w:sz="1"/>
              <w:right w:val="single" w:color="C9CED6" w:sz="1"/>
            </w:tcBorders>
            <w:shd w:fill="F7F8FA" w:val="clear"/>
            <w:tcMar>
              <w:top w:type="dxa" w:w="60"/>
              <w:left w:type="dxa" w:w="110"/>
              <w:bottom w:type="dxa" w:w="60"/>
              <w:right w:type="dxa" w:w="110"/>
            </w:tcMar>
          </w:tcPr>
          <w:p>
            <w:r>
              <w:rPr>
                <w:rFonts w:ascii="Consolas" w:cs="Consolas" w:eastAsia="Consolas" w:hAnsi="Consolas"/>
                <w:color w:val="0E7490"/>
                <w:sz w:val="20"/>
                <w:szCs w:val="20"/>
              </w:rPr>
              <w:t xml:space="preserve">colvio_api_tester_history</w:t>
            </w:r>
          </w:p>
        </w:tc>
        <w:tc>
          <w:tcPr>
            <w:tcW w:type="dxa" w:w="3008"/>
            <w:tcBorders>
              <w:top w:val="single" w:color="C9CED6" w:sz="1"/>
              <w:left w:val="single" w:color="C9CED6" w:sz="1"/>
              <w:bottom w:val="single" w:color="C9CED6" w:sz="1"/>
              <w:right w:val="single" w:color="C9CED6" w:sz="1"/>
            </w:tcBorders>
            <w:shd w:fill="F7F8FA" w:val="clear"/>
            <w:tcMar>
              <w:top w:type="dxa" w:w="60"/>
              <w:left w:type="dxa" w:w="110"/>
              <w:bottom w:type="dxa" w:w="60"/>
              <w:right w:type="dxa" w:w="110"/>
            </w:tcMar>
          </w:tcPr>
          <w:p>
            <w:r>
              <w:rPr>
                <w:sz w:val="20"/>
                <w:szCs w:val="20"/>
              </w:rPr>
              <w:t xml:space="preserve">Last 50 requests</w:t>
            </w:r>
          </w:p>
        </w:tc>
        <w:tc>
          <w:tcPr>
            <w:tcW w:type="dxa" w:w="3557"/>
            <w:tcBorders>
              <w:top w:val="single" w:color="C9CED6" w:sz="1"/>
              <w:left w:val="single" w:color="C9CED6" w:sz="1"/>
              <w:bottom w:val="single" w:color="C9CED6" w:sz="1"/>
              <w:right w:val="single" w:color="C9CED6" w:sz="1"/>
            </w:tcBorders>
            <w:shd w:fill="F7F8FA" w:val="clear"/>
            <w:tcMar>
              <w:top w:type="dxa" w:w="60"/>
              <w:left w:type="dxa" w:w="110"/>
              <w:bottom w:type="dxa" w:w="60"/>
              <w:right w:type="dxa" w:w="110"/>
            </w:tcMar>
          </w:tcPr>
          <w:p>
            <w:r>
              <w:rPr>
                <w:b/>
                <w:bCs/>
                <w:sz w:val="20"/>
                <w:szCs w:val="20"/>
              </w:rPr>
              <w:t xml:space="preserve">Secret headers redacted</w:t>
            </w:r>
            <w:r>
              <w:rPr>
                <w:sz w:val="20"/>
                <w:szCs w:val="20"/>
              </w:rPr>
              <w:t xml:space="preserve"> before saving</w:t>
            </w:r>
          </w:p>
        </w:tc>
      </w:tr>
      <w:tr>
        <w:tc>
          <w:tcPr>
            <w:tcW w:type="dxa" w:w="2461"/>
            <w:tcBorders>
              <w:top w:val="single" w:color="C9CED6" w:sz="1"/>
              <w:left w:val="single" w:color="C9CED6" w:sz="1"/>
              <w:bottom w:val="single" w:color="C9CED6" w:sz="1"/>
              <w:right w:val="single" w:color="C9CED6" w:sz="1"/>
            </w:tcBorders>
            <w:shd w:fill="FFFFFF" w:val="clear"/>
            <w:tcMar>
              <w:top w:type="dxa" w:w="60"/>
              <w:left w:type="dxa" w:w="110"/>
              <w:bottom w:type="dxa" w:w="60"/>
              <w:right w:type="dxa" w:w="110"/>
            </w:tcMar>
          </w:tcPr>
          <w:p>
            <w:r>
              <w:rPr>
                <w:rFonts w:ascii="Consolas" w:cs="Consolas" w:eastAsia="Consolas" w:hAnsi="Consolas"/>
                <w:color w:val="0E7490"/>
                <w:sz w:val="20"/>
                <w:szCs w:val="20"/>
              </w:rPr>
              <w:t xml:space="preserve">colvio_loader_templates</w:t>
            </w:r>
          </w:p>
        </w:tc>
        <w:tc>
          <w:tcPr>
            <w:tcW w:type="dxa" w:w="3008"/>
            <w:tcBorders>
              <w:top w:val="single" w:color="C9CED6" w:sz="1"/>
              <w:left w:val="single" w:color="C9CED6" w:sz="1"/>
              <w:bottom w:val="single" w:color="C9CED6" w:sz="1"/>
              <w:right w:val="single" w:color="C9CED6" w:sz="1"/>
            </w:tcBorders>
            <w:shd w:fill="FFFFFF" w:val="clear"/>
            <w:tcMar>
              <w:top w:type="dxa" w:w="60"/>
              <w:left w:type="dxa" w:w="110"/>
              <w:bottom w:type="dxa" w:w="60"/>
              <w:right w:type="dxa" w:w="110"/>
            </w:tcMar>
          </w:tcPr>
          <w:p>
            <w:r>
              <w:rPr>
                <w:sz w:val="20"/>
                <w:szCs w:val="20"/>
              </w:rPr>
              <w:t xml:space="preserve">Column mappings, key, mode</w:t>
            </w:r>
          </w:p>
        </w:tc>
        <w:tc>
          <w:tcPr>
            <w:tcW w:type="dxa" w:w="3557"/>
            <w:tcBorders>
              <w:top w:val="single" w:color="C9CED6" w:sz="1"/>
              <w:left w:val="single" w:color="C9CED6" w:sz="1"/>
              <w:bottom w:val="single" w:color="C9CED6" w:sz="1"/>
              <w:right w:val="single" w:color="C9CED6" w:sz="1"/>
            </w:tcBorders>
            <w:shd w:fill="FFFFFF" w:val="clear"/>
            <w:tcMar>
              <w:top w:type="dxa" w:w="60"/>
              <w:left w:type="dxa" w:w="110"/>
              <w:bottom w:type="dxa" w:w="60"/>
              <w:right w:type="dxa" w:w="110"/>
            </w:tcMar>
          </w:tcPr>
          <w:p>
            <w:r>
              <w:rPr>
                <w:sz w:val="20"/>
                <w:szCs w:val="20"/>
              </w:rPr>
              <w:t xml:space="preserve">Configuration only — no row data</w:t>
            </w:r>
          </w:p>
        </w:tc>
      </w:tr>
      <w:tr>
        <w:tc>
          <w:tcPr>
            <w:tcW w:type="dxa" w:w="2461"/>
            <w:tcBorders>
              <w:top w:val="single" w:color="C9CED6" w:sz="1"/>
              <w:left w:val="single" w:color="C9CED6" w:sz="1"/>
              <w:bottom w:val="single" w:color="C9CED6" w:sz="1"/>
              <w:right w:val="single" w:color="C9CED6" w:sz="1"/>
            </w:tcBorders>
            <w:shd w:fill="F7F8FA" w:val="clear"/>
            <w:tcMar>
              <w:top w:type="dxa" w:w="60"/>
              <w:left w:type="dxa" w:w="110"/>
              <w:bottom w:type="dxa" w:w="60"/>
              <w:right w:type="dxa" w:w="110"/>
            </w:tcMar>
          </w:tcPr>
          <w:p>
            <w:r>
              <w:rPr>
                <w:sz w:val="20"/>
                <w:szCs w:val="20"/>
              </w:rPr>
              <w:t xml:space="preserve">Theme / locale / onboarding</w:t>
            </w:r>
          </w:p>
        </w:tc>
        <w:tc>
          <w:tcPr>
            <w:tcW w:type="dxa" w:w="3008"/>
            <w:tcBorders>
              <w:top w:val="single" w:color="C9CED6" w:sz="1"/>
              <w:left w:val="single" w:color="C9CED6" w:sz="1"/>
              <w:bottom w:val="single" w:color="C9CED6" w:sz="1"/>
              <w:right w:val="single" w:color="C9CED6" w:sz="1"/>
            </w:tcBorders>
            <w:shd w:fill="F7F8FA" w:val="clear"/>
            <w:tcMar>
              <w:top w:type="dxa" w:w="60"/>
              <w:left w:type="dxa" w:w="110"/>
              <w:bottom w:type="dxa" w:w="60"/>
              <w:right w:type="dxa" w:w="110"/>
            </w:tcMar>
          </w:tcPr>
          <w:p>
            <w:r>
              <w:rPr>
                <w:sz w:val="20"/>
                <w:szCs w:val="20"/>
              </w:rPr>
              <w:t xml:space="preserve">UI preferences</w:t>
            </w:r>
          </w:p>
        </w:tc>
        <w:tc>
          <w:tcPr>
            <w:tcW w:type="dxa" w:w="3557"/>
            <w:tcBorders>
              <w:top w:val="single" w:color="C9CED6" w:sz="1"/>
              <w:left w:val="single" w:color="C9CED6" w:sz="1"/>
              <w:bottom w:val="single" w:color="C9CED6" w:sz="1"/>
              <w:right w:val="single" w:color="C9CED6" w:sz="1"/>
            </w:tcBorders>
            <w:shd w:fill="F7F8FA" w:val="clear"/>
            <w:tcMar>
              <w:top w:type="dxa" w:w="60"/>
              <w:left w:type="dxa" w:w="110"/>
              <w:bottom w:type="dxa" w:w="60"/>
              <w:right w:type="dxa" w:w="110"/>
            </w:tcMar>
          </w:tcPr>
          <w:p>
            <w:r>
              <w:rPr>
                <w:sz w:val="20"/>
                <w:szCs w:val="20"/>
              </w:rPr>
              <w:t xml:space="preserve">None</w:t>
            </w:r>
          </w:p>
        </w:tc>
      </w:tr>
    </w:tbl>
    <w:p>
      <w:pPr>
        <w:pBdr>
          <w:left w:val="single" w:color="5B3FD6" w:sz="16" w:space="4"/>
        </w:pBdr>
        <w:shd w:fill="F7F8FA" w:val="clear"/>
        <w:spacing w:after="120"/>
      </w:pPr>
      <w:r>
        <w:rPr>
          <w:color w:val="6B778C"/>
          <w:sz w:val="20"/>
          <w:szCs w:val="20"/>
        </w:rPr>
        <w:t xml:space="preserve">Imported CSV/Excel contents are processed in memory only — never persisted.</w:t>
      </w:r>
    </w:p>
    <w:p>
      <w:pPr>
        <w:pStyle w:val="Heading1"/>
      </w:pPr>
      <w:r>
        <w:t xml:space="preserve">7. Residual risks &amp; recommendations</w:t>
      </w:r>
    </w:p>
    <w:p>
      <w:pPr>
        <w:pStyle w:val="ListParagraph"/>
        <w:numPr>
          <w:ilvl w:val="0"/>
          <w:numId w:val="2"/>
        </w:numPr>
        <w:spacing w:after="60"/>
      </w:pPr>
      <w:r>
        <w:rPr>
          <w:b/>
          <w:bCs/>
        </w:rPr>
        <w:t xml:space="preserve">Polymorphic owner lookups</w:t>
      </w:r>
      <w:r>
        <w:t xml:space="preserve"> assume systemuser targets; a CSV of team-owner GUIDs would fail per-row (visible, not silent). Recommended evolution: resolve owner targets from relationship metadata or a user/team picker.</w:t>
      </w:r>
    </w:p>
    <w:p>
      <w:pPr>
        <w:pStyle w:val="ListParagraph"/>
        <w:numPr>
          <w:ilvl w:val="0"/>
          <w:numId w:val="2"/>
        </w:numPr>
        <w:spacing w:after="60"/>
      </w:pPr>
      <w:r>
        <w:rPr>
          <w:b/>
          <w:bCs/>
        </w:rPr>
        <w:t xml:space="preserve">Formula-injection guard duplication</w:t>
      </w:r>
      <w:r>
        <w:t xml:space="preserve"> — the CSV guard exists in several export sites; centralizing it in one shared helper would prevent future drift (tracked as cleanup, not a vulnerability).</w:t>
      </w:r>
    </w:p>
    <w:p>
      <w:pPr>
        <w:pStyle w:val="ListParagraph"/>
        <w:numPr>
          <w:ilvl w:val="0"/>
          <w:numId w:val="2"/>
        </w:numPr>
        <w:spacing w:after="60"/>
      </w:pPr>
      <w:r>
        <w:rPr>
          <w:b/>
          <w:bCs/>
        </w:rPr>
        <w:t xml:space="preserve">Saved queries</w:t>
      </w:r>
      <w:r>
        <w:t xml:space="preserve"> may persist business values typed into filters by the user; documented in the privacy policy. Optional future redaction toggle.</w:t>
      </w:r>
    </w:p>
    <w:p>
      <w:pPr>
        <w:pStyle w:val="ListParagraph"/>
        <w:numPr>
          <w:ilvl w:val="0"/>
          <w:numId w:val="2"/>
        </w:numPr>
        <w:spacing w:after="60"/>
      </w:pPr>
      <w:r>
        <w:t xml:space="preserve">Re-run this audit after any change to the content-script action surface or the $batch builders.</w:t>
      </w:r>
    </w:p>
    <w:p>
      <w:pPr>
        <w:pStyle w:val="Heading1"/>
      </w:pPr>
      <w:r>
        <w:t xml:space="preserve">8. Conclusion</w:t>
      </w:r>
    </w:p>
    <w:p>
      <w:pPr>
        <w:spacing w:after="120"/>
      </w:pPr>
      <w:r>
        <w:t xml:space="preserve">Colvio's security posture is </w:t>
      </w:r>
      <w:r>
        <w:rPr>
          <w:b/>
          <w:bCs/>
        </w:rPr>
        <w:t xml:space="preserve">strong where it matters</w:t>
      </w:r>
      <w:r>
        <w:t xml:space="preserve">: a minimal privileged surface, systematic input validation, verified zero egress, secrets redaction, and write paths that respect both Dataverse RBAC and explicit user confirmation. The June 2026 audit found no exploitable vulnerability; the issues it surfaced were correctness defects in Dataverse semantics and data parsing — all resolved and now covered by 207 automated tests.</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CE1" w:sz="4" w:space="4"/>
      </w:pBdr>
      <w:jc w:val="center"/>
    </w:pPr>
    <w:r>
      <w:rPr>
        <w:color w:val="6B778C"/>
        <w:sz w:val="17"/>
        <w:szCs w:val="17"/>
      </w:rPr>
      <w:t xml:space="preserve">Colvio v1.11.7 — Security Audit  —  </w:t>
    </w:r>
    <w:r>
      <w:rPr>
        <w:color w:val="6B778C"/>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2B4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5B3FD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72B4D"/>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0E749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a658c7b0a56634b3ee7d1d150286cb2aaffa8c3.png"/><Relationship Id="rId9" Type="http://schemas.openxmlformats.org/officeDocument/2006/relationships/image" Target="media/bb471ff10a5f76fb771f8522d1fdf0f4f706c9e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Colvio — Security &amp; Data-Handling Audit</dc:title>
  <dc:creator>Colvio</dc:creator>
  <cp:lastModifiedBy>Un-named</cp:lastModifiedBy>
  <cp:revision>1</cp:revision>
  <dcterms:created xsi:type="dcterms:W3CDTF">2026-06-12T23:40:22.327Z</dcterms:created>
  <dcterms:modified xsi:type="dcterms:W3CDTF">2026-06-12T23:40:22.328Z</dcterms:modified>
</cp:coreProperties>
</file>

<file path=docProps/custom.xml><?xml version="1.0" encoding="utf-8"?>
<Properties xmlns="http://schemas.openxmlformats.org/officeDocument/2006/custom-properties" xmlns:vt="http://schemas.openxmlformats.org/officeDocument/2006/docPropsVTypes"/>
</file>