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b/>
          <w:bCs/>
          <w:color w:val="5B3FD6"/>
          <w:sz w:val="72"/>
          <w:szCs w:val="72"/>
        </w:rPr>
        <w:t xml:space="preserve">Colvio</w:t>
      </w:r>
    </w:p>
    <w:p>
      <w:pPr>
        <w:spacing w:before="160"/>
        <w:jc w:val="center"/>
      </w:pPr>
      <w:r>
        <w:rPr>
          <w:b/>
          <w:bCs/>
          <w:color w:val="172B4D"/>
          <w:sz w:val="40"/>
          <w:szCs w:val="40"/>
        </w:rPr>
        <w:t xml:space="preserve">Spécification technique</w:t>
      </w:r>
    </w:p>
    <w:p>
      <w:pPr>
        <w:spacing w:before="120"/>
        <w:jc w:val="center"/>
      </w:pPr>
      <w:r>
        <w:rPr>
          <w:color w:val="6B778C"/>
          <w:sz w:val="26"/>
          <w:szCs w:val="26"/>
        </w:rPr>
        <w:t xml:space="preserve">Architecture, intégration Dataverse, moteur de chargement, sécurité</w:t>
      </w:r>
    </w:p>
    <w:p>
      <w:pPr>
        <w:spacing w:before="600"/>
        <w:jc w:val="center"/>
      </w:pPr>
      <w:r>
        <w:rPr>
          <w:color w:val="6B778C"/>
          <w:sz w:val="22"/>
          <w:szCs w:val="22"/>
        </w:rPr>
        <w:t xml:space="preserve">v1.11.171  ·  Octobre 2026</w:t>
      </w:r>
    </w:p>
    <w:p>
      <w:r>
        <w:br w:type="page"/>
      </w:r>
    </w:p>
    <w:p>
      <w:pPr>
        <w:spacing w:after="200"/>
      </w:pPr>
      <w:r>
        <w:rPr>
          <w:b/>
          <w:bCs/>
          <w:sz w:val="30"/>
          <w:szCs w:val="30"/>
        </w:rPr>
        <w:t xml:space="preserve">Sommaire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Vue d'ensemble</w:t>
      </w:r>
    </w:p>
    <w:p>
      <w:pPr>
        <w:spacing w:after="120"/>
      </w:pPr>
      <w:r>
        <w:t xml:space="preserve">Colvio est une extension Chrome </w:t>
      </w:r>
      <w:r>
        <w:rPr>
          <w:b/>
          <w:bCs/>
        </w:rPr>
        <w:t xml:space="preserve">Manifest V3</w:t>
      </w:r>
      <w:r>
        <w:t xml:space="preserve"> (React 18 + Vite) pour Microsoft Dynamics 365 / Dataverse. Elle fournit 21 modules d'exploration, de chargement et d'audit, sans aucun backend : toutes les requêtes partent du navigateur de l'utilisateur vers sa propre org, authentifiées par la session existante.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Métrique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Lignes de code (src)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~21 200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Composants React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Actions API (content script)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336 (Vitest)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Bundle panel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~996 KB (+ ~430 KB xlsx, ~373 KB pptxgen à la demande)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Dépendances runtime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React 18, react-dom, xlsx (lazy), pptxgenjs (lazy)</w:t>
            </w:r>
          </w:p>
        </w:tc>
      </w:tr>
      <w:tr>
        <w:tc>
          <w:tcPr>
            <w:tcW w:type="dxa" w:w="361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Permissions Chrome</w:t>
            </w:r>
          </w:p>
        </w:tc>
        <w:tc>
          <w:tcPr>
            <w:tcW w:type="dxa" w:w="5416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scripting · storage · declarativeContent</w:t>
            </w:r>
          </w:p>
        </w:tc>
      </w:tr>
    </w:tbl>
    <w:p>
      <w:pPr>
        <w:pStyle w:val="Heading1"/>
      </w:pPr>
      <w:r>
        <w:t xml:space="preserve">2. Architecture</w:t>
      </w:r>
    </w:p>
    <w:p>
      <w:pPr>
        <w:spacing w:after="120"/>
      </w:pPr>
      <w:r>
        <w:t xml:space="preserve">Trois contextes d'exécution isolés communiquent par messages Chrome. Le </w:t>
      </w:r>
      <w:r>
        <w:rPr>
          <w:b/>
          <w:bCs/>
        </w:rPr>
        <w:t xml:space="preserve">panel</w:t>
      </w:r>
      <w:r>
        <w:t xml:space="preserve"> (React) ne touche jamais Dataverse directement : chaque appel transite par le </w:t>
      </w:r>
      <w:r>
        <w:rPr>
          <w:b/>
          <w:bCs/>
        </w:rPr>
        <w:t xml:space="preserve">service worker</w:t>
      </w:r>
      <w:r>
        <w:t xml:space="preserve"> (relais pur) vers le </w:t>
      </w:r>
      <w:r>
        <w:rPr>
          <w:b/>
          <w:bCs/>
        </w:rPr>
        <w:t xml:space="preserve">content script</w:t>
      </w:r>
      <w:r>
        <w:t xml:space="preserve">, seul contexte privilégié, qui exécute le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same-origin avec les cookies de session.</w:t>
      </w:r>
    </w:p>
    <w:p>
      <w:pPr>
        <w:spacing w:after="160" w:before="120"/>
        <w:jc w:val="center"/>
      </w:pPr>
      <w:r>
        <w:drawing>
          <wp:inline distT="0" distB="0" distL="0" distR="0">
            <wp:extent cx="6096000" cy="2771775"/>
            <wp:effectExtent t="0" r="0" b="0" l="0"/>
            <wp:docPr id="1" name="architecture.png" descr="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Composants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panel</w:t>
      </w:r>
      <w:r>
        <w:t xml:space="preserve"> (src/) — l'application React : 39 composants, un module = un onglet. Le bridge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d365-bridge.js</w:t>
      </w:r>
      <w:r>
        <w:t xml:space="preserve">) expose l'API typée, gère le rate-limit (30 req/s), le cache et les pools de workers des opérations bulk. La logique à risque (préparation typée des écritures, filtres OData, historique) vit dans des modules purs testés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updateUtils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filterUtils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historyUtils</w:t>
      </w:r>
      <w:r>
        <w:t xml:space="preserve">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loaderUtils</w:t>
      </w:r>
      <w:r>
        <w:t xml:space="preserve">…).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background.js</w:t>
      </w:r>
      <w:r>
        <w:t xml:space="preserve"> — service worker : relais de messages panel ↔ content script </w:t>
      </w:r>
      <w:r>
        <w:rPr>
          <w:b/>
          <w:bCs/>
        </w:rPr>
        <w:t xml:space="preserve">résilient à la mise en veille des onglets</w:t>
      </w:r>
      <w:r>
        <w:t xml:space="preserve"> (l'onglet D365 est épinglé non-endormissable, réveillé/ré-injecté au besoin, IDs remplacés suivis via tabs.onReplaced) avec </w:t>
      </w:r>
      <w:r>
        <w:rPr>
          <w:b/>
          <w:bCs/>
        </w:rPr>
        <w:t xml:space="preserve">garde d'origine</w:t>
      </w:r>
      <w:r>
        <w:t xml:space="preserve"> : une requête ne part jamais vers un onglet affichant un autre environnement. Rejette tout message dont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sender.id</w:t>
      </w:r>
      <w:r>
        <w:t xml:space="preserve"> n'est pas l'extension.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content.js</w:t>
      </w:r>
      <w:r>
        <w:t xml:space="preserve"> — injecté sur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*.dynamics.com</w:t>
      </w:r>
      <w:r>
        <w:t xml:space="preserve"> : extraction du contexte org, </w:t>
      </w:r>
      <w:r>
        <w:rPr>
          <w:b/>
          <w:bCs/>
        </w:rPr>
        <w:t xml:space="preserve">73 actions</w:t>
      </w:r>
      <w:r>
        <w:t xml:space="preserve"> (query, metadata, batch…), validation des entrées (regex noms d'entités/champs, GUIDs, strip des caractères de contrôle), construction des $batch, back-off 429.</w:t>
      </w:r>
    </w:p>
    <w:p>
      <w:pPr>
        <w:pStyle w:val="Heading2"/>
      </w:pPr>
      <w:r>
        <w:t xml:space="preserve">Protocole de messages</w:t>
      </w:r>
    </w:p>
    <w:p>
      <w:pPr>
        <w:spacing w:after="120"/>
      </w:pPr>
      <w:r>
        <w:t xml:space="preserve">Requête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{__d365InspectorRequest, id, action, params, d365TabId, orgUrl}</w:t>
      </w:r>
      <w:r>
        <w:t xml:space="preserve"> ; réponse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{result}</w:t>
      </w:r>
      <w:r>
        <w:t xml:space="preserve"> ou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{error}</w:t>
      </w:r>
      <w:r>
        <w:t xml:space="preserve">. Timeouts côté bridge : 30 s standard, 10 min pour les opérations bulk. Les chunks bulk sont plafonnés à 500 enregistrements par message pour rester sous la limite IPC de 64 Mo de Chrome.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Erreurs 401/403 → signal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SESSION_EXPIRED</w:t>
      </w:r>
      <w:r>
        <w:t xml:space="preserve"> propagé à l'UI (bouton Reconnect).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Annulation bulk : le bridge envoie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abortBatch</w:t>
      </w:r>
      <w:r>
        <w:t xml:space="preserve"> ; le content script arrête retries 429 et chunks restants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resetBatchAbort</w:t>
      </w:r>
      <w:r>
        <w:t xml:space="preserve"> au début de chaque run).</w:t>
      </w:r>
    </w:p>
    <w:p>
      <w:r>
        <w:br w:type="page"/>
      </w:r>
    </w:p>
    <w:p>
      <w:pPr>
        <w:pStyle w:val="Heading1"/>
      </w:pPr>
      <w:r>
        <w:t xml:space="preserve">3. Modules</w:t>
      </w:r>
    </w:p>
    <w:p>
      <w:pPr>
        <w:spacing w:after="120"/>
      </w:pPr>
      <w:r>
        <w:t xml:space="preserve">Un module = un composant React monté dans son ErrorBoundary (un crash n'affecte pas les autres onglets).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8"/>
        <w:gridCol w:w="6448"/>
      </w:tblGrid>
      <w:tr>
        <w:trPr>
          <w:tblHeader/>
        </w:trP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Rôle technique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Explorer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 modes de requête (Builder/OData/FetchXML/SQL), filtres relationnels (nav-path parent + lambdas any()/not any()), pagination auto, virtual scrolling + barre horizontale collante, édition inline et bulk update TYPÉS par les métadonnées (lookups via @odata.bind), détecteur de doublons, bulk delete $batch avec ✕ Cancel, historique restaurant les requêtes Builder dans le Builder (valeurs expurgées — vie privée).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SQL (2 moteurs)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Natif : le SELECT part tel quel à Dataverse via l'option Web API ?sql= (JOIN multi-tables avec alias, self-joins, DISTINCT, GROUP BY serveur ; orgs sans l'option auto-détectées). Transpilé : parseur dédié (</w:t>
            </w:r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sqlToFetchXml.js</w:t>
            </w:r>
            <w:r>
              <w:rPr>
                <w:sz w:val="20"/>
                <w:szCs w:val="20"/>
              </w:rPr>
              <w:t xml:space="preserve">, 43 tests) SELECT/JOIN/WHERE/GROUP BY → link-entity — seul moteur avec HAVING/TOP.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API Tester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Action </w:t>
            </w:r>
            <w:r>
              <w:rPr>
                <w:rFonts w:ascii="Consolas" w:cs="Consolas" w:eastAsia="Consolas" w:hAnsi="Consolas"/>
                <w:color w:val="0E7490"/>
                <w:sz w:val="20"/>
                <w:szCs w:val="20"/>
              </w:rPr>
              <w:t xml:space="preserve">customRequest</w:t>
            </w:r>
            <w:r>
              <w:rPr>
                <w:sz w:val="20"/>
                <w:szCs w:val="20"/>
              </w:rPr>
              <w:t xml:space="preserve"> : méthode whitelistée, hôte re-validé deux fois, timeout 60 s, réponse brute (statut/headers/body) non interprétée, téléchargement .json/.txt.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 Loader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Voir section 5 — parsing, transforms, 4 modes, moteur $batch, coercition typée par métadonnées, auto-resume après timeout.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Show All Data / Metadata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EntityDefinitions + attributs ; édition inline typée des champs, LOOKUPS inclus (lier/relier/effacer via @odata.bind, GUID validé) ; gestionnaire de BPF ; chips de filtre Virtual/Elastic ; exports CSV dictionnaire de données et OptionSets.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Automation / Apps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Inventaire statique des plug-in steps + processus (classification Microsoft/Managed/Custom) ; inventaire des apps model-driven (inférence include-all, badges EXPLICIT/IMPLICIT, inspecteur de vues, subgrids, recherche inversée).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Défauts + overrides typés (yes/no, JSON validé, nombres), piège NO VALUE compté, secrets = références Key Vault.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Schema (ERD) / Relationships / Schema diff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Rendu SVG custom (drag/zoom/pan), arêtes N:N pointillées dans l'ERD, relations métier d'abord dans le graphe (plomberie système derrière un toggle, ↻ vide-cache), exports PNG 2x / SVG / Mermaid ; snapshots JSON + diff classé entre orgs.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Solutions / Translations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Composants résolus (40+ types), comparaison intra-org et cross-org (fichier de compare, matching 2 passes) ; labels multilingues + export/import zip solution-wide (ExportTranslation).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Recycle Bin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FetchXML datasource='bin' + action Restore ; détection d'activation ; limitations MS affichées.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Audit History / System Ops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audits + RetrieveAuditDetails ; asyncoperation (cancel/resume bulk), traces plug-ins (fenêtres rapides ~24 h), runs des cloud flows de solution (table flowrun).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Users &amp; Licenses / Security Audit / Login History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Pagination complète systemusers, privilèges par rôle + matrice + vue org-wide, affectation de rôles en masse, audit logs. Onglets masqués sans droits.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Business Units / Adoption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Hiérarchie + organigramme plein écran (PNG), déplacement d'utilisateurs en masse (vérité sur les rôles annoncée), sélection par liste collée et déplacement VERS une BU par liste d'emails (recherche org entière) ; analytics d'adoption (agrégation serveur par jour, DAU/WAU/MAU, comptes de service séparés, rapport PowerPoint natif).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Teams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Teams propriétaires / groupes Entra / access teams (chargées à la demande, cap 500) : membres, rôles de sécurité portés (hérités par les membres sans apparaître sur l'utilisateur), Object ID Entra copiable, vérité de matérialisation paresseuse affichée. Lecture seule.</w:t>
            </w:r>
          </w:p>
        </w:tc>
      </w:tr>
      <w:tr>
        <w:tc>
          <w:tcPr>
            <w:tcW w:type="dxa" w:w="257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6448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Lignes par table pour toute l'org via RetrieveTotalRecordCount (instantané Dataverse ≤ 24 h, quelques appels découpés par lots, dichotomie qui isole une table refusée) ; classe de stockage selon la répartition Microsoft (File / Log incl. tables élastiques / Database) ; octets de fichiers par table (agrégats sur notes, colonnes File/Image, pièces jointes) en arrière-plan avec découpage par période au-delà de 50 000 lignes. Les Go facturés restent dans le centre d'admin (API à enregistrement d'application).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Intégration Dataverse</w:t>
      </w:r>
    </w:p>
    <w:p>
      <w:pPr>
        <w:pStyle w:val="Heading2"/>
      </w:pPr>
      <w:r>
        <w:t xml:space="preserve">Contexte &amp; authentification</w:t>
      </w:r>
    </w:p>
    <w:p>
      <w:pPr>
        <w:spacing w:after="120"/>
      </w:pPr>
      <w:r>
        <w:t xml:space="preserve">Le content script extrait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clientUrl</w:t>
      </w:r>
      <w:r>
        <w:t xml:space="preserve"> et la version d'API du contexte de la page D365. Tous les appels sont des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</w:t>
      </w:r>
      <w:r>
        <w:rPr>
          <w:b/>
          <w:bCs/>
        </w:rPr>
        <w:t xml:space="preserve">same-origin</w:t>
      </w:r>
      <w:r>
        <w:t xml:space="preserve"> avec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credentials:"same-origin"</w:t>
      </w:r>
      <w:r>
        <w:t xml:space="preserve"> — les cookies de session Azure AD/Entra portent l'authentification. Aucun token n'est extrait, stocké ni manipulé.</w:t>
      </w:r>
    </w:p>
    <w:p>
      <w:pPr>
        <w:pStyle w:val="Heading2"/>
      </w:pPr>
      <w:r>
        <w:t xml:space="preserve">Détection d'environnement</w:t>
      </w:r>
    </w:p>
    <w:p>
      <w:pPr>
        <w:spacing w:after="12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RetrieveCurrentOrganization</w:t>
      </w:r>
      <w:r>
        <w:t xml:space="preserve"> fournit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OrganizationType</w:t>
      </w:r>
      <w:r>
        <w:t xml:space="preserve"> — source de vérité du badge, mappé sur l'enum DOCUMENTÉ de Microsoft : une org de production répond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</w:t>
      </w:r>
      <w:r>
        <w:t xml:space="preserve"> ou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Secondary</w:t>
      </w:r>
      <w:r>
        <w:t xml:space="preserve"> (l'enum n'a PAS de membre « Production »),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CustomerTest</w:t>
      </w:r>
      <w:r>
        <w:t xml:space="preserve">/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CustomerFreeTest</w:t>
      </w:r>
      <w:r>
        <w:t xml:space="preserve"> = sandbox,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TestDrive</w:t>
      </w:r>
      <w:r>
        <w:t xml:space="preserve">/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Trial</w:t>
      </w:r>
      <w:r>
        <w:t xml:space="preserve"> = essai. Valeur inconnue = présumée production (fail-closed : les confirmations PROD ne peuvent pas être désarmées par un type nouveau). L'heuristique hostname ne sert que de secours.</w:t>
      </w:r>
    </w:p>
    <w:p>
      <w:pPr>
        <w:pStyle w:val="Heading2"/>
      </w:pPr>
      <w:r>
        <w:t xml:space="preserve">Cache de métadonnées</w:t>
      </w:r>
    </w:p>
    <w:p>
      <w:pPr>
        <w:spacing w:after="120"/>
      </w:pPr>
      <w:r>
        <w:t xml:space="preserve">Double niveau : mémoire (session) +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chrome.storage.local</w:t>
      </w:r>
      <w:r>
        <w:t xml:space="preserve"> (persistant). Les clés sont </w:t>
      </w:r>
      <w:r>
        <w:rPr>
          <w:b/>
          <w:bCs/>
        </w:rPr>
        <w:t xml:space="preserve">préfixées par l'org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d365_cache_&lt;org&gt;_…</w:t>
      </w:r>
      <w:r>
        <w:t xml:space="preserve">) — aucun mélange entre environnements. En cas de quota storage atteint, le cache </w:t>
      </w:r>
      <w:r>
        <w:rPr>
          <w:b/>
          <w:bCs/>
        </w:rPr>
        <w:t xml:space="preserve">s'auto-évince</w:t>
      </w:r>
      <w:r>
        <w:t xml:space="preserve"> (autres orgs d'abord, puis org courante, puis repli mémoire) : une écriture de cache ne peut jamais faire échouer une fonctionnalité.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0"/>
        <w:gridCol w:w="1974"/>
        <w:gridCol w:w="4232"/>
      </w:tblGrid>
      <w:tr>
        <w:trPr>
          <w:tblHeader/>
        </w:trP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Donnée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EEE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Entités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logical name, display name, EntitySetName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Champs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type, requis, IsValidForCreate/Update, custom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Lookups / OptionSets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relations N:1, valeurs d'option</w:t>
            </w:r>
          </w:p>
        </w:tc>
      </w:tr>
      <w:tr>
        <w:tc>
          <w:tcPr>
            <w:tcW w:type="dxa" w:w="2820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EntitySetName (résolution unitaire)</w:t>
            </w:r>
          </w:p>
        </w:tc>
        <w:tc>
          <w:tcPr>
            <w:tcW w:type="dxa" w:w="1974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 h</w:t>
            </w:r>
          </w:p>
        </w:tc>
        <w:tc>
          <w:tcPr>
            <w:tcW w:type="dxa" w:w="4232"/>
            <w:tcBorders>
              <w:top w:val="single" w:color="C9CED6" w:sz="1"/>
              <w:left w:val="single" w:color="C9CED6" w:sz="1"/>
              <w:bottom w:val="single" w:color="C9CED6" w:sz="1"/>
              <w:right w:val="single" w:color="C9CED6" w:sz="1"/>
            </w:tcBorders>
            <w:shd w:fill="F7F8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nom de collection exact (pluriels irréguliers)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Moteur du Data Loader</w:t>
      </w:r>
    </w:p>
    <w:p>
      <w:pPr>
        <w:pStyle w:val="Heading2"/>
      </w:pPr>
      <w:r>
        <w:t xml:space="preserve">Parsing (loaderUtils.js — testé unitairement)</w:t>
      </w:r>
    </w:p>
    <w:p>
      <w:pPr>
        <w:spacing w:after="120"/>
      </w:pPr>
      <w:r>
        <w:t xml:space="preserve">Parseur </w:t>
      </w:r>
      <w:r>
        <w:rPr>
          <w:b/>
          <w:bCs/>
        </w:rPr>
        <w:t xml:space="preserve">RFC-4180</w:t>
      </w:r>
      <w:r>
        <w:t xml:space="preserve"> caractère par caractère : guillemets, délimiteurs et sauts de ligne imbriqués,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""</w:t>
      </w:r>
      <w:r>
        <w:t xml:space="preserve"> échappés. Détection du délimiteur : tabulation prioritaire (collage Excel), sinon comptage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;</w:t>
      </w:r>
      <w:r>
        <w:t xml:space="preserve"> vs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,</w:t>
      </w:r>
      <w:r>
        <w:t xml:space="preserve"> hors guillemets. Les fichiers Excel sont lus </w:t>
      </w:r>
      <w:r>
        <w:rPr>
          <w:b/>
          <w:bCs/>
        </w:rPr>
        <w:t xml:space="preserve">directement en lignes</w:t>
      </w:r>
      <w:r>
        <w:t xml:space="preserve"> (sheet_to_json, pas d'aller-retour CSV). Valeurs trimées, zéros en tête préservés (pas de coercition numérique).</w:t>
      </w:r>
    </w:p>
    <w:p>
      <w:pPr>
        <w:pStyle w:val="Heading2"/>
      </w:pPr>
      <w:r>
        <w:t xml:space="preserve">Transforms</w:t>
      </w:r>
    </w:p>
    <w:p>
      <w:pPr>
        <w:spacing w:after="12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applyTransform(valeur, transform, optionMap)</w:t>
      </w:r>
      <w:r>
        <w:t xml:space="preserve"> — fonctions pures testées : picklist/statecode (label→valeur via OptionSet préchargé, </w:t>
      </w:r>
      <w:r>
        <w:rPr>
          <w:b/>
          <w:bCs/>
        </w:rPr>
        <w:t xml:space="preserve">lookup du label avant</w:t>
      </w:r>
      <w:r>
        <w:t xml:space="preserve"> le passthrough numérique strict), date_iso (DateOnly verbatim, dd/mm/yyyy, bascule US si mois &gt; 12, heure 24h/AM-PM → ISO local→UTC), int/float conscients de la locale (espaces/NBSP, virgule décimale, milliers), booléens EN/FR. Les labels non convertis sont collectés et affichés en fin de run.</w:t>
      </w:r>
    </w:p>
    <w:p>
      <w:pPr>
        <w:pStyle w:val="Heading2"/>
      </w:pPr>
      <w:r>
        <w:t xml:space="preserve">Les 4 modes</w:t>
      </w:r>
    </w:p>
    <w:p>
      <w:pPr>
        <w:spacing w:after="120"/>
      </w:pPr>
      <w:r>
        <w:t xml:space="preserve">La clé (PK ou alternate key mono-attribut) adresse l'enregistrement dans l'URL — jamais dupliquée dans le body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buildClean</w:t>
      </w:r>
      <w:r>
        <w:t xml:space="preserve"> la retire en défense). </w:t>
      </w:r>
      <w:r>
        <w:rPr>
          <w:b/>
          <w:bCs/>
        </w:rPr>
        <w:t xml:space="preserve">UPDATE</w:t>
      </w:r>
      <w:r>
        <w:t xml:space="preserve">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If-Match: *</w:t>
      </w:r>
      <w:r>
        <w:t xml:space="preserve"> sur chaque PATCH du $batch </w:t>
      </w:r>
      <w:r>
        <w:rPr>
          <w:b/>
          <w:bCs/>
        </w:rPr>
        <w:t xml:space="preserve">et</w:t>
      </w:r>
      <w:r>
        <w:t xml:space="preserve"> du fallback série ; lignes à clé vide rejetées côté client ; pré-check d'existence optionnel (requêtes OR par 80, normalisation des GUIDs des deux côtés, fallback par valeur en cas de 400, jamais d'abort global). </w:t>
      </w:r>
      <w:r>
        <w:rPr>
          <w:b/>
          <w:bCs/>
        </w:rPr>
        <w:t xml:space="preserve">UPSERT</w:t>
      </w:r>
      <w:r>
        <w:t xml:space="preserve"> par alt-key : binding direct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entityset(champ='valeur')</w:t>
      </w:r>
      <w:r>
        <w:t xml:space="preserve">. </w:t>
      </w:r>
      <w:r>
        <w:rPr>
          <w:b/>
          <w:bCs/>
        </w:rPr>
        <w:t xml:space="preserve">DELETE</w:t>
      </w:r>
      <w:r>
        <w:t xml:space="preserve"> : DELETE par clé, mêmes garanties de log.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modes.png" descr="Import modes" title="Import m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Moteur $batch</w:t>
      </w:r>
    </w:p>
    <w:p>
      <w:pPr>
        <w:spacing w:after="120"/>
      </w:pPr>
      <w:r>
        <w:t xml:space="preserve">Le bridge découpe en chunks (≤500) distribués sur un pool de workers (1-10, défaut 6). Le content script construit le multipart : </w:t>
      </w:r>
      <w:r>
        <w:rPr>
          <w:b/>
          <w:bCs/>
        </w:rPr>
        <w:t xml:space="preserve">un changeset par enregistrement</w:t>
      </w:r>
      <w:r>
        <w:t xml:space="preserve"> (atomicité par ligne, pas de rollback de lot), headers If-Match/MSCRM injectés par opération. Réponses parsées par Content-ID positionnel → log par ligne. 429 : retry avec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Retry-After</w:t>
      </w:r>
      <w:r>
        <w:t xml:space="preserve"> (cap 30 s, 4 tentatives) au niveau $batch </w:t>
      </w:r>
      <w:r>
        <w:rPr>
          <w:b/>
          <w:bCs/>
        </w:rPr>
        <w:t xml:space="preserve">et</w:t>
      </w:r>
      <w:r>
        <w:t xml:space="preserve"> dans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dvRequest</w:t>
      </w:r>
      <w:r>
        <w:t xml:space="preserve"> (résolutions, pré-checks).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batch.png" descr="Bulk engine" title="Bulk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Annulation</w:t>
      </w:r>
    </w:p>
    <w:p>
      <w:pPr>
        <w:spacing w:after="120"/>
      </w:pPr>
      <w:r>
        <w:t xml:space="preserve">Trois niveaux : le pool du bridge cesse de distribuer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shouldAbort</w:t>
      </w:r>
      <w:r>
        <w:t xml:space="preserve">), le content script reçoit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abortBatch</w:t>
      </w:r>
      <w:r>
        <w:t xml:space="preserve"> (flag de run) qui interrompt les retries 429 en attente et les chunks restants, et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resetBatchAbort</w:t>
      </w:r>
      <w:r>
        <w:t xml:space="preserve"> réarme au run suivant. Garantie : </w:t>
      </w:r>
      <w:r>
        <w:rPr>
          <w:b/>
          <w:bCs/>
        </w:rPr>
        <w:t xml:space="preserve">aucune écriture après l'annulation</w:t>
      </w:r>
      <w:r>
        <w:t xml:space="preserve">.</w:t>
      </w:r>
    </w:p>
    <w:p>
      <w:pPr>
        <w:pStyle w:val="Heading2"/>
      </w:pPr>
      <w:r>
        <w:t xml:space="preserve">Journalisation</w:t>
      </w:r>
    </w:p>
    <w:p>
      <w:pPr>
        <w:spacing w:after="120"/>
      </w:pPr>
      <w:r>
        <w:t xml:space="preserve">Deux structures :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fullLog</w:t>
      </w:r>
      <w:r>
        <w:t xml:space="preserve"> (ref, hors React — toutes les lignes, O(1) mémoire par ligne) et un buffer d'affichage borné à 300 entrées (ring buffer, compteurs agrégés). Le détail par ligne reconstruit la requête exacte (mêmes transforms + optionMaps que l'envoi). Exports : log complet, erreurs seules, en CSV protégé.</w:t>
      </w:r>
    </w:p>
    <w:p>
      <w:r>
        <w:br w:type="page"/>
      </w:r>
    </w:p>
    <w:p>
      <w:pPr>
        <w:pStyle w:val="Heading1"/>
      </w:pPr>
      <w:r>
        <w:t xml:space="preserve">6. Sécurité</w:t>
      </w:r>
    </w:p>
    <w:p>
      <w:pPr>
        <w:spacing w:after="120"/>
      </w:pPr>
      <w:r>
        <w:t xml:space="preserve">Audits successifs : 4 dimensions + revue 7 angles (juin 2026), audit chemins d'écriture (août), audit produit 8 lentilles (septembre), revue pré-publication (septembre) : </w:t>
      </w:r>
      <w:r>
        <w:rPr>
          <w:b/>
          <w:bCs/>
        </w:rPr>
        <w:t xml:space="preserve">0 finding critique ou élevé ouvert</w:t>
      </w:r>
      <w:r>
        <w:t xml:space="preserve">. Toutes les écritures restent soumises aux rôles Dataverse côté serveur.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security.png" descr="Defense in depth" title="Defense in d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Zéro egress</w:t>
      </w:r>
      <w:r>
        <w:t xml:space="preserve"> : tous les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fetch</w:t>
      </w:r>
      <w:r>
        <w:t xml:space="preserve"> ciblent l'org de l'utilisateur ; pas d'analytics, télémétrie, CDN ou fonts externes.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systématique côté content script : regex noms entités/champs, GUIDs, strip des caractères de contrôle dans les clés (anti-CRLF dans les $batch).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Tester : hôte re-validé après assemblage de l'URL finale ; historique avec </w:t>
      </w:r>
      <w:r>
        <w:rPr>
          <w:b/>
          <w:bCs/>
        </w:rPr>
        <w:t xml:space="preserve">headers secrets masqués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Exports CSV : préfixe anti-injection de formules ; XLSX : cellules typées (les chaînes y sont inertes).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Boosters MSCRM conditionnés au privilège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prvBypassCustomPlugins</w:t>
      </w:r>
      <w:r>
        <w:t xml:space="preserve"> (System Administrator).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explicite sur panel.html ; marqueur du content script non-énumérable ;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sender.id</w:t>
      </w:r>
      <w:r>
        <w:t xml:space="preserve"> vérifié dans le service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Écritures typées centralisées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updateUtils</w:t>
      </w:r>
      <w:r>
        <w:t xml:space="preserve">, testé) : toute valeur saisie est convertie selon le type réel du champ et refusée lisiblement avant envoi — un texte dans un GUID/lookup ou un nombre mal saisi ne part jamais au serveur (et ne vide jamais un champ).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 d'origine du relais</w:t>
      </w:r>
      <w:r>
        <w:t xml:space="preserve"> : le panel déclare son org sur chaque requête ; le service worker refuse tout onglet affichant un autre environnement (et refuse une requête sans org déclarée — fail-closed).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Confidentialité de l'historique</w:t>
      </w:r>
      <w:r>
        <w:t xml:space="preserve"> : les valeurs de filtre ne persistent jamais — $filter OData, littéraux SQL et values FetchXML expurgés avant stockage, et les entrées des versions antérieures sont nettoyées au chargement (scrub idempotent).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Confirmations PRODUCTION</w:t>
      </w:r>
      <w:r>
        <w:t xml:space="preserve"> sur toute surface destructrice (runs du Loader, update/delete en masse, éditions inline, déplacements de BU), armées par la vraie détection d'environnement.</w:t>
      </w:r>
    </w:p>
    <w:p>
      <w:pPr>
        <w:pStyle w:val="Heading1"/>
      </w:pPr>
      <w:r>
        <w:t xml:space="preserve">7.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Rate-limit client 30 req/s + back-off 429 ; pools de workers bulk (6 par défaut, 52 connexions max Dataverse).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scrolling (~35 lignes rendues quel que soit le volume) ; live log borné (300) + ref complète hors re-render.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xlsx </w:t>
      </w:r>
      <w:r>
        <w:rPr>
          <w:b/>
          <w:bCs/>
        </w:rPr>
        <w:t xml:space="preserve">lazy-loadé</w:t>
      </w:r>
      <w:r>
        <w:t xml:space="preserve"> : panel ~490 KB, le chunk xlsx (~430 KB) ne charge qu'au drop/export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métadonnées 2 niveaux ; debounce des recherches ; préchargement parallèle des OptionSets.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Caps de rendu (500 lignes + bandeau honnête) sur les listes potentiellement énormes (membres de rôle/BU/team, utilisateurs, adoption) — sélection, filtres et exports couvrent toujours la liste complète.</w:t>
      </w:r>
    </w:p>
    <w:p>
      <w:pPr>
        <w:pStyle w:val="Heading1"/>
      </w:pPr>
      <w:r>
        <w:t xml:space="preserve">8. Build, tests et release</w:t>
      </w:r>
    </w:p>
    <w:p>
      <w:pPr>
        <w:spacing w:after="120"/>
      </w:pPr>
      <w:r>
        <w:t xml:space="preserve">Vite (build &lt; 2 s) + script post-build (copie manifest/content/background, icônes). </w:t>
      </w:r>
      <w:r>
        <w:rPr>
          <w:b/>
          <w:bCs/>
        </w:rPr>
        <w:t xml:space="preserve">336 tests Vitest</w:t>
      </w:r>
      <w:r>
        <w:t xml:space="preserve"> : parseur SQL (43), envDetect/sqlNative/teamUtils/relGraphUtils (badge d'environnement fail-closed, moteur SQL natif, Teams, classification des relations), loaderUtils (transforms, parser RFC-4180, coercition typée), updateUtils/filterUtils/historyUtils (écritures, filtres, historique), adoption/BU/solutions/doublons, couverture i18n (chaque clé t() présente dans les deux locales). ESLint (règles vrais-bugs : no-undef, no-dupe-keys…) dans chaque passe pré-release.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build</w:t>
      </w:r>
      <w:r>
        <w:t xml:space="preserve"> →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dist/</w:t>
      </w:r>
      <w:r>
        <w:t xml:space="preserve"> chargeable en mode développeur ; zip de release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colvio-&lt;version&gt;.zip</w:t>
      </w:r>
      <w:r>
        <w:t xml:space="preserve"> (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npm run pack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Flux : commit sur main → build + tests + lint → zip → push GitHub → upload Chrome Web 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Versionnage synchronisé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package.json</w:t>
      </w:r>
      <w:r>
        <w:t xml:space="preserve"> + </w:t>
      </w:r>
      <w:r>
        <w:rPr>
          <w:rFonts w:ascii="Consolas" w:cs="Consolas" w:eastAsia="Consolas" w:hAnsi="Consolas"/>
          <w:color w:val="0E7490"/>
          <w:sz w:val="19"/>
          <w:szCs w:val="19"/>
        </w:rPr>
        <w:t xml:space="preserve">manifest.json</w:t>
      </w:r>
      <w:r>
        <w:t xml:space="preserve"> ; CHANGELOG.md exhaustif.</w:t>
      </w:r>
    </w:p>
    <w:p>
      <w:pPr>
        <w:pBdr>
          <w:left w:val="single" w:color="5B3FD6" w:sz="16" w:space="4"/>
        </w:pBdr>
        <w:shd w:fill="F7F8FA" w:val="clear"/>
        <w:spacing w:after="120"/>
      </w:pPr>
      <w:r>
        <w:rPr>
          <w:color w:val="6B778C"/>
          <w:sz w:val="20"/>
          <w:szCs w:val="20"/>
        </w:rPr>
        <w:t xml:space="preserve">Code source : github.com/zmissoum/colvio — licence MIT.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1" w:sz="4" w:space="4"/>
      </w:pBdr>
      <w:jc w:val="center"/>
    </w:pPr>
    <w:r>
      <w:rPr>
        <w:color w:val="6B778C"/>
        <w:sz w:val="17"/>
        <w:szCs w:val="17"/>
      </w:rPr>
      <w:t xml:space="preserve">Colvio v1.11.171 — Spécification technique  —  </w:t>
    </w:r>
    <w:r>
      <w:rPr>
        <w:color w:val="6B77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B4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5B3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bd0e107395d77fd9fae8da01797b4dccb24248.png"/><Relationship Id="rId9" Type="http://schemas.openxmlformats.org/officeDocument/2006/relationships/image" Target="media/bc037ab195c51b3ea870c9cebd8a96bab2bb223f.png"/><Relationship Id="rId10" Type="http://schemas.openxmlformats.org/officeDocument/2006/relationships/image" Target="media/668625fd2e88d584f0e73a59937b95f5d49e8edd.png"/><Relationship Id="rId11" Type="http://schemas.openxmlformats.org/officeDocument/2006/relationships/image" Target="media/bb471ff10a5f76fb771f8522d1fdf0f4f706c9e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Colvio — Spécification technique</dc:title>
  <dc:creator>Colvio</dc:creator>
  <cp:lastModifiedBy>Un-named</cp:lastModifiedBy>
  <cp:revision>1</cp:revision>
  <dcterms:created xsi:type="dcterms:W3CDTF">2026-10-02T11:14:36.010Z</dcterms:created>
  <dcterms:modified xsi:type="dcterms:W3CDTF">2026-10-02T11:14:36.011Z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