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21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336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39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 Risky logic (typed write preparation, OData filters, history) lives in pure tested modules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worker: panel ↔ content-script relay, </w:t>
      </w:r>
      <w:r>
        <w:rPr>
          <w:b/>
          <w:bCs/>
        </w:rPr>
        <w:t xml:space="preserve">resilient to browser tab sleep</w:t>
      </w:r>
      <w:r>
        <w:t xml:space="preserve"> (the D365 tab is pinned non-discardable, woken/re-injected as needed, replaced ids tracked via tabs.onReplaced) with an </w:t>
      </w:r>
      <w:r>
        <w:rPr>
          <w:b/>
          <w:bCs/>
        </w:rPr>
        <w:t xml:space="preserve">origin guard</w:t>
      </w:r>
      <w:r>
        <w:t xml:space="preserve">: a request never goes to a tab showing a different environment.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73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10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relational filters (parent nav-paths + any()/not any() lambdas), auto-pagination, virtual scrolling + sticky horizontal scrollbar, metadata-TYPED inline edit and bulk update (lookups via @odata.bind), duplicate finder, $batch bulk delete with ✕ Cancel, history restoring Builder queries into the Builder (values redacted — privacy).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engines)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Native: the SELECT goes straight to Dataverse via the Web API ?sql= option (multi-table JOINs with aliases, self-joins, DISTINCT, server-side GROUP BY; orgs without the option auto-detected). Transpiled: 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the only engine with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unmodified, .json/.txt download.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engine, metadata-typed coercion, auto-resume after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typed inline field editing, LOOKUPS included (link/relink/clear via @odata.bind, GUID-validated); BPF manager; Virtual/Elastic filter chips;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Static inventory of plug-in steps + processes (Microsoft/Managed/Custom classification); model-driven app inventory (include-all inference, EXPLICIT/IMPLICIT badges, view inspector, subgrids, reverse search).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Defaults + typed overrides (yes/no, validated JSON, numbers), NO VALUE trap counted, secrets = Key Vault references.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dashed N:N edges in the ERD, business relationships first in the graph (system plumbing behind a toggle, cache-clearing ↻), PNG 2x / SVG / Mermaid exports; JSON snapshots + ranked cross-org diff.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 resolved (40+ types), intra-org and cross-org compare (compare file, two-pass matching); multilingual labels + solution-wide zip export/import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Restore action;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RetrieveAuditDetails; asyncoperation (bulk cancel/resume), plug-in traces (quick ~24 h windows), solution cloud-flow runs (flowrun table).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+ matrix + org-wide view, bulk role assignment, audit logs. Tabs hidden without rights.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Hierarchy + full-screen org chart (PNG), bulk user move (roles truth stated first), paste-a-list selection and move-INTO-a-BU by pasted email list (org-wide match); adoption analytics (server-side per-day aggregation, DAU/WAU/MAU, service accounts separated, native PowerPoint report).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Owner / Entra group / access teams (lazy-loaded, 500 cap): members, carried security roles (inherited by members without ever showing on the user), copiable Entra Object ID, lazy-materialization truth stated. Read-only.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per table for the whole org via RetrieveTotalRecordCount (Dataverse snapshot ≤ 24 h, a few chunked calls, bisection isolating any refused table); storage class per Microsoft's split (File / Log incl. elastic tables / Database); file bytes per table (aggregates over notes, file/image columns, attachments) in the background with period bisection past 50,000 rows. Billed GB stay in the admin center (app-registration API).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the badge's source of truth, mapped on Microsoft's DOCUMENTED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trial. Unknown values are presumed production (fail-closed: PROD confirmations can never be disarmed by a new type). The hostname heuristic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 On storage-quota exhaustion the cache </w:t>
      </w:r>
      <w:r>
        <w:rPr>
          <w:b/>
          <w:bCs/>
        </w:rPr>
        <w:t xml:space="preserve">self-evicts</w:t>
      </w:r>
      <w:r>
        <w:t xml:space="preserve"> (other orgs first, then the current org, then in-memory fallback): a cache write can never break a feature.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300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Successive audits: 4 dimensions + 7-angle review (June 2026), write-path audit (August), 8-lens product audit (September), pre-publication review (September):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Centralized typed writes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tested): every typed-in value is converted by the field's real type and refused readably before sending — text in a GUID/lookup or a mistyped number never reaches the server (and never silently clears a field).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Relay origin guard</w:t>
      </w:r>
      <w:r>
        <w:t xml:space="preserve">: the panel states its org on every request; the service worker refuses any tab showing a different environment (and refuses requests with no stated org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 privacy</w:t>
      </w:r>
      <w:r>
        <w:t xml:space="preserve">: filter values never persist — OData $filter, SQL literals and FetchXML values are redacted before storage, and entries saved by older versions are scrubbed on load (idempotent upgrade scrub).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 confirmations</w:t>
      </w:r>
      <w:r>
        <w:t xml:space="preserve"> on every destructive surface (Loader runs, bulk update/delete, inline edits, BU moves), armed by the real environment detection.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(300)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 caps (500 rows + honest banner) on potentially huge lists (role/BU/team members, users, adoption) — selection, filters and exports still cover the full list.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336 Vitest tests</w:t>
      </w:r>
      <w:r>
        <w:t xml:space="preserve">: SQL parser (43), envDetect/sqlNative/teamUtils/relGraphUtils (fail-closed environment badge, native SQL engine, Teams, relationship classification), loaderUtils (transforms, RFC-4180 parser, typed coercion), updateUtils/filterUtils/historyUtils (writes, filters, history), adoption/BU/solutions/duplicates, i18n coverage (every t() key present in both locales). ESLint (real-bug rules: no-undef, no-dupe-keys…) in every pre-release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commit on main → build + tests + lint → zip → GitHub push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2026-10-02T11:14:36.079Z</dcterms:created>
  <dcterms:modified xsi:type="dcterms:W3CDTF">2026-10-02T11:14:36.079Z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