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21 modules</w:t>
      </w:r>
      <w:r>
        <w:t xml:space="preserve"> covering exploration, restore, data loading, API testing, modeling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21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⚠ PROD</w:t>
      </w:r>
      <w:r>
        <w:t xml:space="preserve"> (red) or </w:t>
      </w:r>
      <w:r>
        <w:rPr>
          <w:b/>
          <w:bCs/>
        </w:rPr>
        <w:t xml:space="preserve">SANDBOX / UAT / DEV / TRIAL</w:t>
      </w:r>
      <w:r>
        <w:t xml:space="preserve"> (green). It maps Microsoft's DOCUMENTED OrganizationType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— 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 — and any unknown value is presumed production (fail-closed). Colvio's PROD confirmations (Loader, bulk update/delete, edits) arm on this detection. Always check the badge before loading data.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Two engines, one toggle. </w:t>
      </w:r>
      <w:r>
        <w:rPr>
          <w:b/>
          <w:bCs/>
        </w:rPr>
        <w:t xml:space="preserve">⚡ Native</w:t>
      </w:r>
      <w:r>
        <w:t xml:space="preserve"> (default): your SELECT goes straight to Dataverse via the Web API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?sql=</w:t>
      </w:r>
      <w:r>
        <w:t xml:space="preserve"> option — the server parses it: multi-table JOINs with aliases, self-joins, DISTINCT, server-side GROUP BY and aggregates, DATEADD/GETUTCDATE relative dates (no SELECT *, subqueries, HAVING or TOP; aggregates capped at 50,000). </w:t>
      </w:r>
      <w:r>
        <w:rPr>
          <w:b/>
          <w:bCs/>
        </w:rPr>
        <w:t xml:space="preserve">⇄ Transpiled</w:t>
      </w:r>
      <w:r>
        <w:t xml:space="preserve">: Colvio converts the SQL to FetchXML — the only engine with HAVING and TOP, and the automatic fallback when the org lacks the option: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 Writable fields edit inline — </w:t>
      </w:r>
      <w:r>
        <w:rPr>
          <w:b/>
          <w:bCs/>
        </w:rPr>
        <w:t xml:space="preserve">lookups included</w:t>
      </w:r>
      <w:r>
        <w:t xml:space="preserve">: paste the target GUID to link/relink, clear to unlink, all validated before sending (production confirms first).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</w:t>
      </w:r>
      <w:r>
        <w:rPr>
          <w:b/>
          <w:bCs/>
        </w:rPr>
        <w:t xml:space="preserve">Virtual / Elastic chips</w:t>
      </w:r>
      <w:r>
        <w:t xml:space="preserve"> filter by table type (find every virtual table at a glance).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</w:t>
      </w:r>
      <w:r>
        <w:rPr>
          <w:b/>
          <w:bCs/>
        </w:rPr>
        <w:t xml:space="preserve">N:N relationships</w:t>
      </w:r>
      <w:r>
        <w:t xml:space="preserve"> draw as dashed lines between cards. Drag, zoom, “+” adds related entities. Export </w:t>
      </w:r>
      <w:r>
        <w:rPr>
          <w:b/>
          <w:bCs/>
        </w:rPr>
        <w:t xml:space="preserve">PNG, SVG, Mermaid</w:t>
      </w:r>
      <w:r>
        <w:t xml:space="preserve"> — your data model, ready for a wiki or a deck.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</w:t>
      </w:r>
      <w:r>
        <w:rPr>
          <w:b/>
          <w:bCs/>
        </w:rPr>
        <w:t xml:space="preserve">Business</w:t>
      </w:r>
      <w:r>
        <w:t xml:space="preserve"> relationships show first; the system plumbing (createdby, owner, currency…) hides behind a toggle. ↻ reloads from the org (metadata is cached 1 h).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Teams</w:t>
      </w:r>
    </w:p>
    <w:p>
      <w:pPr>
        <w:spacing w:after="120"/>
      </w:pPr>
      <w:r>
        <w:t xml:space="preserve">Every team in the org by type (owner, Entra group, on-demand access teams): the members, and above all the </w:t>
      </w:r>
      <w:r>
        <w:rPr>
          <w:b/>
          <w:bCs/>
        </w:rPr>
        <w:t xml:space="preserve">security roles the team carries</w:t>
      </w:r>
      <w:r>
        <w:t xml:space="preserve"> — inherited by every member without ever showing on their profile. It answers the question: why does this user have that right? For Entra teams: copiable group Object ID, plus the reminder that membership materializes on the user's next access.</w:t>
      </w:r>
    </w:p>
    <w:p>
      <w:pPr>
        <w:pStyle w:val="Heading2"/>
      </w:pPr>
      <w:r>
        <w:t xml:space="preserve">Storage</w:t>
      </w:r>
    </w:p>
    <w:p>
      <w:pPr>
        <w:spacing w:after="120"/>
      </w:pPr>
      <w:r>
        <w:t xml:space="preserve">Where your Dataverse capacity goes: the row count of </w:t>
      </w:r>
      <w:r>
        <w:rPr>
          <w:b/>
          <w:bCs/>
        </w:rPr>
        <w:t xml:space="preserve">every table</w:t>
      </w:r>
      <w:r>
        <w:t xml:space="preserve"> (Dataverse snapshot under 24 h old — the whole org in seconds), ranked and tagged Database / File / Log, the </w:t>
      </w:r>
      <w:r>
        <w:rPr>
          <w:b/>
          <w:bCs/>
        </w:rPr>
        <w:t xml:space="preserve">system tables that grow silently</w:t>
      </w:r>
      <w:r>
        <w:t xml:space="preserve"> with the cleanup action that applies, and </w:t>
      </w:r>
      <w:r>
        <w:rPr>
          <w:b/>
          <w:bCs/>
        </w:rPr>
        <w:t xml:space="preserve">file storage per table in real bytes</w:t>
      </w:r>
      <w:r>
        <w:t xml:space="preserve"> (notes, file/image columns, attachments), computed in the background. The billed GB stay in the Power Platform admin center (Licensing → Dataverse) — the module links there.</w:t>
      </w:r>
    </w:p>
    <w:p>
      <w:pPr>
        <w:pStyle w:val="Heading2"/>
      </w:pPr>
      <w:r>
        <w:t xml:space="preserve">Business Units &amp; Adoption</w:t>
      </w:r>
    </w:p>
    <w:p>
      <w:pPr>
        <w:spacing w:after="120"/>
      </w:pPr>
      <w:r>
        <w:t xml:space="preserve">Business-unit hierarchy as a tree or a </w:t>
      </w:r>
      <w:r>
        <w:rPr>
          <w:b/>
          <w:bCs/>
        </w:rPr>
        <w:t xml:space="preserve">full-screen org chart</w:t>
      </w:r>
      <w:r>
        <w:t xml:space="preserve"> (PNG export). Bulk user moves — tick, or </w:t>
      </w:r>
      <w:r>
        <w:rPr>
          <w:b/>
          <w:bCs/>
        </w:rPr>
        <w:t xml:space="preserve">paste a list of emails</w:t>
      </w:r>
      <w:r>
        <w:t xml:space="preserve"> (selection within the displayed BU, or an org-wide search to move INTO the BU) — with the roles truth stated before confirming. </w:t>
      </w:r>
      <w:r>
        <w:rPr>
          <w:b/>
          <w:bCs/>
        </w:rPr>
        <w:t xml:space="preserve">Adoption</w:t>
      </w:r>
      <w:r>
        <w:t xml:space="preserve">: access events, DAU/WAU/MAU, per-BU rates, inactivity, one-click PowerPoint report.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Login/logout timeline per user (from D365 audit), session durations, access-type breakdown, CSV export.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maps the OrganizationType enum: production orgs report Customer or Secondary, and any unknown value is presumed PROD (fail-closed) — a spurious PROD badge costs one confirmation click, never the reverse.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ed38acfdc40f48ce4252597b2ee0cc5e379ef8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2026-10-02T11:14:36.285Z</dcterms:created>
  <dcterms:modified xsi:type="dcterms:W3CDTF">2026-10-02T11:14:36.285Z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