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Guide de formation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Explorer, charger et auditer Dynamics 365 / Dataverse depuis le navigateur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Octobre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gratuite et open-source</w:t>
      </w:r>
      <w:r>
        <w:t xml:space="preserve"> pour Microsoft Dynamics 365 / Dataverse. Elle s'appuie sur votre session navigateur existante : </w:t>
      </w:r>
      <w:r>
        <w:rPr>
          <w:b/>
          <w:bCs/>
        </w:rPr>
        <w:t xml:space="preserve">aucune clé API, aucun enregistrement d'application, aucun compte</w:t>
      </w:r>
      <w:r>
        <w:t xml:space="preserve">. Ouvrez une page D365, cliquez sur l'icône Colvio, et travaillez.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configuration</w:t>
      </w:r>
      <w:r>
        <w:t xml:space="preserve"> — l'authentification réutilise vos cookies de session D365.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totale</w:t>
      </w:r>
      <w:r>
        <w:t xml:space="preserve"> — aucune donnée ne quitte le navigateur : pas de télémétrie, pas de serveur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21 modules</w:t>
      </w:r>
      <w:r>
        <w:t xml:space="preserve"> couvrant l'exploration, la restauration, le chargement de données, le test d'API, la modélisation et l'audit.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Interface </w:t>
      </w:r>
      <w:r>
        <w:rPr>
          <w:b/>
          <w:bCs/>
        </w:rPr>
        <w:t xml:space="preserve">EN / FR</w:t>
      </w:r>
      <w:r>
        <w:t xml:space="preserve">, thème sombre/clair, aide intégrée avec recherche.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Capture d'écran recommandée ici : la barre latérale Colvio avec les 21 onglets, sur votre org de démo.</w:t>
      </w:r>
    </w:p>
    <w:p>
      <w:pPr>
        <w:pStyle w:val="Heading1"/>
      </w:pPr>
      <w:r>
        <w:t xml:space="preserve">2. Installation et premier lancement</w:t>
      </w:r>
    </w:p>
    <w:p>
      <w:pPr>
        <w:pStyle w:val="Heading2"/>
      </w:pPr>
      <w:r>
        <w:t xml:space="preserve">Installation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Depuis le </w:t>
      </w:r>
      <w:r>
        <w:rPr>
          <w:b/>
          <w:bCs/>
        </w:rPr>
        <w:t xml:space="preserve">Chrome Web Store</w:t>
      </w:r>
      <w:r>
        <w:t xml:space="preserve"> : recherchez « Colvio for Dynamics 365 » et cliquez Installer (ou depuis les sources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puis charger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en mode développeur).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Épinglez l'icône Colvio à la barre d'outils Chrome.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n'importe quelle page </w:t>
      </w:r>
      <w:r>
        <w:rPr>
          <w:b/>
          <w:bCs/>
        </w:rPr>
        <w:t xml:space="preserve">Dynamics 365</w:t>
      </w:r>
      <w:r>
        <w:t xml:space="preserve"> (votre org habituelle).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l'icône Colvio : le panneau s'ouvre dans un nouvel onglet, déjà connecté à votre org.</w:t>
      </w:r>
    </w:p>
    <w:p>
      <w:pPr>
        <w:pStyle w:val="Heading2"/>
      </w:pPr>
      <w:r>
        <w:t xml:space="preserve">Badge d'environnement</w:t>
      </w:r>
    </w:p>
    <w:p>
      <w:pPr>
        <w:spacing w:after="120"/>
      </w:pPr>
      <w:r>
        <w:t xml:space="preserve">En haut du panneau, un badge indique l'environnement : </w:t>
      </w:r>
      <w:r>
        <w:rPr>
          <w:b/>
          <w:bCs/>
        </w:rPr>
        <w:t xml:space="preserve">⚠ PROD</w:t>
      </w:r>
      <w:r>
        <w:t xml:space="preserve"> (rouge) ou </w:t>
      </w:r>
      <w:r>
        <w:rPr>
          <w:b/>
          <w:bCs/>
        </w:rPr>
        <w:t xml:space="preserve">SANDBOX / UAT / DEV / TRIAL</w:t>
      </w:r>
      <w:r>
        <w:t xml:space="preserve"> (vert). Il est mappé sur l'enum OrganizationType DOCUMENTÉ de Microsoft : une org de production répond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— l'enum n'a pas de membre « Production » — et toute valeur inconnue est présumée production (fail-closed). Les confirmations PROD de Colvio (Loader, update/delete en masse, éditions) s'arment sur cette détection. Vérifiez toujours le badge avant un chargement.</w:t>
      </w:r>
    </w:p>
    <w:p>
      <w:pPr>
        <w:pStyle w:val="Heading2"/>
      </w:pPr>
      <w:r>
        <w:t xml:space="preserve">Onglets selon vos droits</w:t>
      </w:r>
    </w:p>
    <w:p>
      <w:pPr>
        <w:spacing w:after="120"/>
      </w:pPr>
      <w:r>
        <w:t xml:space="preserve">Au démarrage, Colvio sonde vos permissions et masque les onglets que vous ne pouvez pas utiliser (Security Audit, Login History, Users &amp; Licenses exigent des droits de lecture d'audit/utilisateurs ; les Speed boosters du Loader exigent System Administrator). Les droits sont </w:t>
      </w:r>
      <w:r>
        <w:rPr>
          <w:b/>
          <w:bCs/>
        </w:rPr>
        <w:t xml:space="preserve">toujours réappliqués côté serveur</w:t>
      </w:r>
      <w:r>
        <w:t xml:space="preserve"> par Dataverse : Colvio ne peut jamais dépasser vos rôles de sécurité.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Le module central : interrogez n'importe quelle table de votre org avec l'un des </w:t>
      </w:r>
      <w:r>
        <w:rPr>
          <w:b/>
          <w:bCs/>
        </w:rPr>
        <w:t xml:space="preserve">4 modes de requête</w:t>
      </w:r>
      <w:r>
        <w:t xml:space="preserve">, puis triez, éditez et exportez les résultats.</w:t>
      </w:r>
    </w:p>
    <w:p>
      <w:pPr>
        <w:pStyle w:val="Heading2"/>
      </w:pPr>
      <w:r>
        <w:t xml:space="preserve">Les 4 modes de requête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visuel : choix des colonnes, filtres WHERE en groupes ET/OU (14 opérateurs), $expand parents et enfants (avec filtres par expand), tri, limite.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l'URL brute, éditable directement.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éditeur avec 3 modèles (simple, jointure, agrégation) et pagination par paging cookie.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écrivez du SQL familier, Colvio le traduit en FetchXML (voir ci-dessous).</w:t>
      </w:r>
    </w:p>
    <w:p>
      <w:pPr>
        <w:pStyle w:val="Heading2"/>
      </w:pPr>
      <w:r>
        <w:t xml:space="preserve">Travailler avec les résultats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Pagination automatique</w:t>
      </w:r>
      <w:r>
        <w:t xml:space="preserve"> sans plafond de 5 000 lignes, défilement virtuel fluide sur 10 000+ enregistrements.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Édition inline</w:t>
      </w:r>
      <w:r>
        <w:t xml:space="preserve"> — double-cliquez une cellule pour la modifier (PATCH direct).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sur sélection, avec confirmation tapée et pré-contrôle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Requêtes sauvegardées</w:t>
      </w:r>
      <w:r>
        <w:t xml:space="preserve"> (20), </w:t>
      </w:r>
      <w:r>
        <w:rPr>
          <w:b/>
          <w:bCs/>
        </w:rPr>
        <w:t xml:space="preserve">historique</w:t>
      </w:r>
      <w:r>
        <w:t xml:space="preserve"> (20) et </w:t>
      </w:r>
      <w:r>
        <w:rPr>
          <w:b/>
          <w:bCs/>
        </w:rPr>
        <w:t xml:space="preserve">5 modèles</w:t>
      </w:r>
      <w:r>
        <w:t xml:space="preserve"> prêts à l'emploi.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Lookups cliquables (ouvre l'enregistrement dans D365), copie de l'URL OData.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Mode SQL</w:t>
      </w:r>
    </w:p>
    <w:p>
      <w:pPr>
        <w:spacing w:after="120"/>
      </w:pPr>
      <w:r>
        <w:t xml:space="preserve">Deux moteurs, un toggle. </w:t>
      </w:r>
      <w:r>
        <w:rPr>
          <w:b/>
          <w:bCs/>
        </w:rPr>
        <w:t xml:space="preserve">⚡ Natif</w:t>
      </w:r>
      <w:r>
        <w:t xml:space="preserve"> (défaut) : votre SELECT part tel quel à Dataverse via l'option Web 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?sql=</w:t>
      </w:r>
      <w:r>
        <w:t xml:space="preserve"> — le serveur le parse : JOIN multi-tables avec alias, self-joins, DISTINCT, GROUP BY et agrégats côté serveur, dates relatives DATEADD/GETUTCDATE (pas de SELECT *, sous-requêtes, HAVING ni TOP ; agrégats plafonnés à 50 000). </w:t>
      </w:r>
      <w:r>
        <w:rPr>
          <w:b/>
          <w:bCs/>
        </w:rPr>
        <w:t xml:space="preserve">⇄ Transpilé</w:t>
      </w:r>
      <w:r>
        <w:t xml:space="preserve"> : Colvio traduit le SQL en FetchXML — seul moteur avec HAVING et TOP, et bascule automatique si l'org n'a pas encore l'option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bouton « View FetchXML » montre le XML généré — pratique pour apprendre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Un client </w:t>
      </w:r>
      <w:r>
        <w:rPr>
          <w:b/>
          <w:bCs/>
        </w:rPr>
        <w:t xml:space="preserve">façon Postman</w:t>
      </w:r>
      <w:r>
        <w:t xml:space="preserve"> pour la Web API Dataverse, sans aucune configuration : l'authentification passe par votre session D365 active (pas d'OAuth, pas de secret client, pas de token à rafraîchir).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Méthodes </w:t>
      </w:r>
      <w:r>
        <w:rPr>
          <w:b/>
          <w:bCs/>
        </w:rPr>
        <w:t xml:space="preserve">GET / POST / PATCH / PUT / DELETE</w:t>
      </w:r>
      <w:r>
        <w:t xml:space="preserve"> sur un chemin relatif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ou une URL complète de la même org (l'hôte est re-validé : impossible d'appeler un autre domaine).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Autocomplétion des headers</w:t>
      </w:r>
      <w:r>
        <w:t xml:space="preserve"> Dataverse courants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Éditeur de </w:t>
      </w:r>
      <w:r>
        <w:rPr>
          <w:b/>
          <w:bCs/>
        </w:rPr>
        <w:t xml:space="preserve">body JSON</w:t>
      </w:r>
      <w:r>
        <w:t xml:space="preserve"> avec numéros de ligne et validation en direct (l'erreur pointe la ligne exacte).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Réponse : statut, temps, taille, JSON formaté, onglet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 : WhoAmI, CREATE, PATCH, UPSERT par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Historique</w:t>
      </w:r>
      <w:r>
        <w:t xml:space="preserve"> des 50 dernières requêtes (les headers sensibles comme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sont masqués avant sauvegarde locale).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envoi par </w:t>
      </w:r>
      <w:r>
        <w:rPr>
          <w:b/>
          <w:bCs/>
        </w:rPr>
        <w:t xml:space="preserve">Ctrl/Cmd+Entrée</w:t>
      </w:r>
      <w:r>
        <w:t xml:space="preserve">, multi-onglets.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Cas d'usage typiques : tester un appel avant de l'intégrer dans un plugin ou Power Automate, reproduire un ticket, vérifier le comportement d'un header MSCRM.</w:t>
      </w:r>
    </w:p>
    <w:p>
      <w:pPr>
        <w:pStyle w:val="Heading1"/>
      </w:pPr>
      <w:r>
        <w:t xml:space="preserve">5. Inspecter un enregistrement et les métadonnées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Détecte automatiquement l'enregistrement ouvert dans votre onglet D365 (ou collez une URL / un GUID) et affiche </w:t>
      </w:r>
      <w:r>
        <w:rPr>
          <w:b/>
          <w:bCs/>
        </w:rPr>
        <w:t xml:space="preserve">tous ses champs</w:t>
      </w:r>
      <w:r>
        <w:t xml:space="preserve"> : nom logique, libellé, type, valeur. Lookups cliquables, copie champ par champ ou JSON complet. Les champs modifiables s'éditent inline — </w:t>
      </w:r>
      <w:r>
        <w:rPr>
          <w:b/>
          <w:bCs/>
        </w:rPr>
        <w:t xml:space="preserve">lookups inclus</w:t>
      </w:r>
      <w:r>
        <w:t xml:space="preserve"> : collez le GUID cible pour lier/relier, videz pour effacer, le tout validé avant envoi (confirmation en production).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Parcourez entités, champs et OptionSets (valeur, libellé, description, couleur). </w:t>
      </w:r>
      <w:r>
        <w:rPr>
          <w:b/>
          <w:bCs/>
        </w:rPr>
        <w:t xml:space="preserve">Export CSV de tous les champs</w:t>
      </w:r>
      <w:r>
        <w:t xml:space="preserve"> d'une entité (nom logique, nom OData, type, requis, custom) — un dictionnaire de données instantané — et </w:t>
      </w:r>
      <w:r>
        <w:rPr>
          <w:b/>
          <w:bCs/>
        </w:rPr>
        <w:t xml:space="preserve">export de tous les OptionSets</w:t>
      </w:r>
      <w:r>
        <w:t xml:space="preserve">. Des </w:t>
      </w:r>
      <w:r>
        <w:rPr>
          <w:b/>
          <w:bCs/>
        </w:rPr>
        <w:t xml:space="preserve">chips Virtual / Elastic</w:t>
      </w:r>
      <w:r>
        <w:t xml:space="preserve"> filtrent par type de table (retrouvez toutes vos tables virtuelles d'un coup d'œil). C'est ici que vous vérifiez les libellés exacts d'une picklist avant un import par labels.</w:t>
      </w:r>
    </w:p>
    <w:p>
      <w:r>
        <w:br w:type="page"/>
      </w:r>
    </w:p>
    <w:p>
      <w:pPr>
        <w:pStyle w:val="Heading1"/>
      </w:pPr>
      <w:r>
        <w:t xml:space="preserve">6. Data Loader — charger des données en masse</w:t>
      </w:r>
    </w:p>
    <w:p>
      <w:pPr>
        <w:spacing w:after="120"/>
      </w:pPr>
      <w:r>
        <w:t xml:space="preserve">Le Data Loader importe des fichiers </w:t>
      </w:r>
      <w:r>
        <w:rPr>
          <w:b/>
          <w:bCs/>
        </w:rPr>
        <w:t xml:space="preserve">CSV, TSV ou Excel</w:t>
      </w:r>
      <w:r>
        <w:t xml:space="preserve"> dans n'importe quelle table, via un assistant en 5 étapes. Il est conçu pour des volumes importants (plusieurs centaines de milliers de lignes) avec un retour ligne par ligne en temps réel.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Étape 1 — Source</w:t>
      </w:r>
    </w:p>
    <w:p>
      <w:pPr>
        <w:spacing w:after="120"/>
      </w:pPr>
      <w:r>
        <w:t xml:space="preserve">Glissez-déposez un fichier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ou collez directement depuis Excel. Le délimiteur est auto-détecté (virgule, tabulation, point-virgule) et le parseur respecte </w:t>
      </w:r>
      <w:r>
        <w:rPr>
          <w:b/>
          <w:bCs/>
        </w:rPr>
        <w:t xml:space="preserve">RFC-4180</w:t>
      </w:r>
      <w:r>
        <w:t xml:space="preserve"> : cellules entre guillemets, virgules et retours à la ligne dans les cellules, guillemets échappés. Les valeurs sont trimées et les zéros en tête préservés (codes SAP…).</w:t>
      </w:r>
    </w:p>
    <w:p>
      <w:pPr>
        <w:pStyle w:val="Heading2"/>
      </w:pPr>
      <w:r>
        <w:t xml:space="preserve">Étape 2 — Mapping et transforms</w:t>
      </w:r>
    </w:p>
    <w:p>
      <w:pPr>
        <w:spacing w:after="120"/>
      </w:pPr>
      <w:r>
        <w:t xml:space="preserve">Les colonnes du fichier s'auto-mappent aux champs D365 (correspondance par nom + champs courants). Les colonnes de type lookup sont détectées et </w:t>
      </w:r>
      <w:r>
        <w:rPr>
          <w:b/>
          <w:bCs/>
        </w:rPr>
        <w:t xml:space="preserve">routées vers l'étape Lookups</w:t>
      </w:r>
      <w:r>
        <w:t xml:space="preserve"> — jamais écrites en dur. Un avertissement signale les champs </w:t>
      </w:r>
      <w:r>
        <w:rPr>
          <w:b/>
          <w:bCs/>
        </w:rPr>
        <w:t xml:space="preserve">non inscriptibles</w:t>
      </w:r>
      <w:r>
        <w:t xml:space="preserve"> pour le mode choisi (calculés, rollup). Chaque colonne peut recevoir un transform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accepte la valeur numérique </w:t>
      </w:r>
      <w:r>
        <w:rPr>
          <w:b/>
          <w:bCs/>
        </w:rPr>
        <w:t xml:space="preserve">ou le label</w:t>
      </w:r>
      <w:r>
        <w:t xml:space="preserve"> (« Chaud », « 3 - Hot ») : l'OptionSet est préchargé et les labels convertis ; les labels sans correspondance sont </w:t>
      </w:r>
      <w:r>
        <w:rPr>
          <w:b/>
          <w:bCs/>
        </w:rPr>
        <w:t xml:space="preserve">listés en fin d'import</w:t>
      </w:r>
      <w:r>
        <w:t xml:space="preserve"> au lieu d'être perdus.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inchangé (pas de décalage de fuseau),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auto-détecté), avec heure optionnelle 24h ou AM/PM.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 gérée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oui-non</w:t>
      </w:r>
      <w:r>
        <w:t xml:space="preserve">, MAJUSCULES / minuscules.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Templates de mapping</w:t>
      </w:r>
      <w:r>
        <w:rPr>
          <w:color w:val="6B778C"/>
          <w:sz w:val="20"/>
          <w:szCs w:val="20"/>
        </w:rPr>
        <w:t xml:space="preserve"> : sauvegardez la configuration complète (mappings, lookups, clé, mode, perfs) et rechargez-la au prochain import de la même entité.</w:t>
      </w:r>
    </w:p>
    <w:p>
      <w:pPr>
        <w:pStyle w:val="Heading2"/>
      </w:pPr>
      <w:r>
        <w:t xml:space="preserve">Étape 3 — Parent Lookups</w:t>
      </w:r>
    </w:p>
    <w:p>
      <w:pPr>
        <w:spacing w:after="120"/>
      </w:pPr>
      <w:r>
        <w:t xml:space="preserve">Pour chaque relation parent, choisissez le </w:t>
      </w:r>
      <w:r>
        <w:rPr>
          <w:b/>
          <w:bCs/>
        </w:rPr>
        <w:t xml:space="preserve">mode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(la colonne contient déjà le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résout la valeur — ex. un email — vers le GUID via une requête par valeur unique), ou </w:t>
      </w:r>
      <w:r>
        <w:rPr>
          <w:b/>
          <w:bCs/>
        </w:rPr>
        <w:t xml:space="preserve">binding direct par alternate key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, sans aucune requête de résolution — le plus rapide). En cas de non-correspondance, le </w:t>
      </w:r>
      <w:r>
        <w:rPr>
          <w:b/>
          <w:bCs/>
        </w:rPr>
        <w:t xml:space="preserve">fallback</w:t>
      </w:r>
      <w:r>
        <w:t xml:space="preserve"> que vous choisissez s'applique : Skip (ligne ignorée), Null (ligne chargée sans le lookup) ou Error.</w:t>
      </w:r>
    </w:p>
    <w:p>
      <w:pPr>
        <w:pStyle w:val="Heading2"/>
      </w:pPr>
      <w:r>
        <w:t xml:space="preserve">Étape 4 — Choisir le mode d'import</w:t>
      </w:r>
    </w:p>
    <w:p>
      <w:pPr>
        <w:spacing w:after="120"/>
      </w:pPr>
      <w:r>
        <w:t xml:space="preserve">Le choix le plus important de l'assistant. La clé (GUID ou </w:t>
      </w:r>
      <w:r>
        <w:rPr>
          <w:b/>
          <w:bCs/>
        </w:rPr>
        <w:t xml:space="preserve">alternate key</w:t>
      </w:r>
      <w:r>
        <w:t xml:space="preserve">) adresse l'enregistrement dans l'URL — elle n'est jamais dupliquée dans le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À utiliser pour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Chaque ligne devient un nouvel enregistrement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Reprise initiale, données neuves.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sur la clé : met à jour si trouvé, </w:t>
            </w:r>
            <w:r>
              <w:rPr>
                <w:b/>
                <w:bCs/>
                <w:sz w:val="20"/>
                <w:szCs w:val="20"/>
              </w:rPr>
              <w:t xml:space="preserve">crée sinon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Synchronisations répétées, migrations idempotentes.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Strictement mise à jour : header natif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sur chaque PATCH → </w:t>
            </w:r>
            <w:r>
              <w:rPr>
                <w:b/>
                <w:bCs/>
                <w:sz w:val="20"/>
                <w:szCs w:val="20"/>
              </w:rPr>
              <w:t xml:space="preserve">404 si absent, jamais de création</w:t>
            </w:r>
            <w:r>
              <w:rPr>
                <w:sz w:val="20"/>
                <w:szCs w:val="20"/>
              </w:rPr>
              <w:t xml:space="preserve">. Clé vide = erreur. Option « vérifier l'existence d'abord » en filet de sécurité.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Mises à jour de masse où toute création serait une erreur (ex. enrichir 400 000 contacts existants).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Supprime les enregistrements matchés sur la clé. Confirmation à taper.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Purges ciblées par clé métier, rollback d'un import.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En mode UPDATE, des lignes en échec 404 sont un </w:t>
      </w:r>
      <w:r>
        <w:rPr>
          <w:b/>
          <w:bCs/>
          <w:color w:val="6B778C"/>
          <w:sz w:val="20"/>
          <w:szCs w:val="20"/>
        </w:rPr>
        <w:t xml:space="preserve">comportement voulu</w:t>
      </w:r>
      <w:r>
        <w:rPr>
          <w:color w:val="6B778C"/>
          <w:sz w:val="20"/>
          <w:szCs w:val="20"/>
        </w:rPr>
        <w:t xml:space="preserve"> : la clé ne correspond à aucun enregistrement et rien n'est créé. Passez en UPSERT si la création est souhaitée.</w:t>
      </w:r>
    </w:p>
    <w:p>
      <w:pPr>
        <w:pStyle w:val="Heading2"/>
      </w:pPr>
      <w:r>
        <w:t xml:space="preserve">Étape 5 — Performance</w:t>
      </w:r>
    </w:p>
    <w:p>
      <w:pPr>
        <w:spacing w:after="120"/>
      </w:pPr>
      <w:r>
        <w:t xml:space="preserve">Les enregistrements partent en </w:t>
      </w:r>
      <w:r>
        <w:rPr>
          <w:b/>
          <w:bCs/>
        </w:rPr>
        <w:t xml:space="preserve">$batch multipart</w:t>
      </w:r>
      <w:r>
        <w:t xml:space="preserve"> avec un changeset par enregistrement : une ligne en erreur n'annule jamais les autres. Réglez </w:t>
      </w:r>
      <w:r>
        <w:rPr>
          <w:b/>
          <w:bCs/>
        </w:rPr>
        <w:t xml:space="preserve">taille de lot (1-500) × threads (1-10)</w:t>
      </w:r>
      <w:r>
        <w:t xml:space="preserve"> — par défaut 200 × 6 ≈ 3-4 000 enregistrements/seconde. Le throttling Dataverse (429) est retryé automatiquement en respectant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Annuler</w:t>
      </w:r>
      <w:r>
        <w:t xml:space="preserve"> stoppe tout, y compris les retries en attente : aucune écriture après l'annulation.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uniquement)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 par enregistrement.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Peuvent multiplier le débit sur les entités très customisées — mais la logique métier serveur est sautée : réservez-les à des données déjà validées.</w:t>
      </w:r>
    </w:p>
    <w:p>
      <w:pPr>
        <w:pStyle w:val="Heading2"/>
      </w:pPr>
      <w:r>
        <w:t xml:space="preserve">Le log temps réel</w:t>
      </w:r>
    </w:p>
    <w:p>
      <w:pPr>
        <w:spacing w:after="120"/>
      </w:pPr>
      <w:r>
        <w:t xml:space="preserve">Pendant le run, chaque ligne s'affiche avec ses valeurs CSV et son statut </w:t>
      </w:r>
      <w:r>
        <w:rPr>
          <w:b/>
          <w:bCs/>
        </w:rPr>
        <w:t xml:space="preserve">Success / Failed</w:t>
      </w:r>
      <w:r>
        <w:t xml:space="preserve"> + le message d'erreur Dataverse exact. Après le run : cliquez une ligne pour voir la </w:t>
      </w:r>
      <w:r>
        <w:rPr>
          <w:b/>
          <w:bCs/>
        </w:rPr>
        <w:t xml:space="preserve">requête exacte envoyée</w:t>
      </w:r>
      <w:r>
        <w:t xml:space="preserve"> (méthode, URL, headers, body), exportez le log complet ou seulement les erreurs en CSV, et consultez la liste des labels d'option-set non convertis.</w:t>
      </w:r>
    </w:p>
    <w:p>
      <w:r>
        <w:br w:type="page"/>
      </w:r>
    </w:p>
    <w:p>
      <w:pPr>
        <w:pStyle w:val="Heading1"/>
      </w:pPr>
      <w:r>
        <w:t xml:space="preserve">6 bis. Filet de sécurité et nouveaux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Avant un chargement risqué : </w:t>
      </w:r>
      <w:r>
        <w:rPr>
          <w:b/>
          <w:bCs/>
        </w:rPr>
        <w:t xml:space="preserve">Dry run</w:t>
      </w:r>
      <w:r>
        <w:t xml:space="preserve"> simule tout l'import sans rien écrire et rapporte ligne par ligne ce qu'un vrai run ferait. Après un run de création : </w:t>
      </w:r>
      <w:r>
        <w:rPr>
          <w:b/>
          <w:bCs/>
        </w:rPr>
        <w:t xml:space="preserve">Rollback</w:t>
      </w:r>
      <w:r>
        <w:t xml:space="preserve"> supprime exactement les enregistrements créés (GUID capturés des réponses batch), confirmation tapée. Sur les synchros récurrentes : </w:t>
      </w:r>
      <w:r>
        <w:rPr>
          <w:b/>
          <w:bCs/>
        </w:rPr>
        <w:t xml:space="preserve">Delta mode</w:t>
      </w:r>
      <w:r>
        <w:t xml:space="preserve"> lit d'abord les valeurs actuelles et n'envoie que les champs réellement modifiés — les lignes inchangées sont sautées (statut UNCHANGED).</w:t>
      </w:r>
    </w:p>
    <w:p>
      <w:pPr>
        <w:pStyle w:val="Heading2"/>
      </w:pPr>
      <w:r>
        <w:t xml:space="preserve">Corbeille (Recycle Bin)</w:t>
      </w:r>
    </w:p>
    <w:p>
      <w:pPr>
        <w:spacing w:after="120"/>
      </w:pPr>
      <w:r>
        <w:t xml:space="preserve">Liste et </w:t>
      </w:r>
      <w:r>
        <w:rPr>
          <w:b/>
          <w:bCs/>
        </w:rPr>
        <w:t xml:space="preserve">restaure les enregistrements supprimés</w:t>
      </w:r>
      <w:r>
        <w:t xml:space="preserve"> (restauration serveur réelle, valeurs d'origine) quand l'option d'org « Conserver les enregistrements supprimés » est active (rétention 1-30 jours). Limitations Microsoft affichées dans le module : suppressions antérieures à l'activation, tables virtuelles/élastiques/composants, tables de plus de 600 colonnes, ordre des cascades, conflits de clés.</w:t>
      </w:r>
    </w:p>
    <w:p>
      <w:pPr>
        <w:pStyle w:val="Heading2"/>
      </w:pPr>
      <w:r>
        <w:t xml:space="preserve">Historique des modifications</w:t>
      </w:r>
    </w:p>
    <w:p>
      <w:pPr>
        <w:spacing w:after="120"/>
      </w:pPr>
      <w:r>
        <w:t xml:space="preserve">Dans Show All Data, chaque enregistrement a un panneau </w:t>
      </w:r>
      <w:r>
        <w:rPr>
          <w:b/>
          <w:bCs/>
        </w:rPr>
        <w:t xml:space="preserve">Historique</w:t>
      </w:r>
      <w:r>
        <w:t xml:space="preserve"> : timeline d'audit (qui, quand, action) et diff champ par champ (ancienne → nouvelle valeur). Nécessite l'audit activé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Jobs système</w:t>
      </w:r>
      <w:r>
        <w:t xml:space="preserve"> : filtres rapides (échoués, en attente, en cours), annulation/reprise en masse pour les admins — les jobs de maintenance plateforme ne sont pas annulables. </w:t>
      </w:r>
      <w:r>
        <w:rPr>
          <w:b/>
          <w:bCs/>
        </w:rPr>
        <w:t xml:space="preserve">Traces plug-ins</w:t>
      </w:r>
      <w:r>
        <w:t xml:space="preserve"> : exceptions en évidence, texte complet (plafond 10 Ko), export CSV ; purge auto ~24 h.</w:t>
      </w:r>
    </w:p>
    <w:p>
      <w:pPr>
        <w:pStyle w:val="Heading2"/>
      </w:pPr>
      <w:r>
        <w:t xml:space="preserve">Snapshot &amp; diff de schéma</w:t>
      </w:r>
    </w:p>
    <w:p>
      <w:pPr>
        <w:spacing w:after="120"/>
      </w:pPr>
      <w:r>
        <w:t xml:space="preserve">Dans le Metadata Browser (bouton ⇄) : exportez le schéma en JSON sur une org, chargez-le sur une autre, et obtenez le </w:t>
      </w:r>
      <w:r>
        <w:rPr>
          <w:b/>
          <w:bCs/>
        </w:rPr>
        <w:t xml:space="preserve">diff classé</w:t>
      </w:r>
      <w:r>
        <w:t xml:space="preserve"> (tables/colonnes manquantes, types différents) avec export CSV — idéal avant un déploiement DEV → UAT → PROD.</w:t>
      </w:r>
    </w:p>
    <w:p>
      <w:r>
        <w:br w:type="page"/>
      </w:r>
    </w:p>
    <w:p>
      <w:pPr>
        <w:pStyle w:val="Heading1"/>
      </w:pPr>
      <w:r>
        <w:t xml:space="preserve">7. Modéliser : schéma, relations, solutions, traductions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Diagramme Entité-Relation interactif : ajoutez des entités au canevas, les cartes montrent les champs avec badges FK, des courbes relient chaque lookup à sa cible. Les relations </w:t>
      </w:r>
      <w:r>
        <w:rPr>
          <w:b/>
          <w:bCs/>
        </w:rPr>
        <w:t xml:space="preserve">N:N</w:t>
      </w:r>
      <w:r>
        <w:t xml:space="preserve"> se dessinent en pointillés entre les cartes. Glissez, zoomez, « + » ajoute les entités liées. Export </w:t>
      </w:r>
      <w:r>
        <w:rPr>
          <w:b/>
          <w:bCs/>
        </w:rPr>
        <w:t xml:space="preserve">PNG, SVG, Mermaid</w:t>
      </w:r>
      <w:r>
        <w:t xml:space="preserve"> — votre data model, prêt pour un wiki ou un deck.</w:t>
      </w:r>
    </w:p>
    <w:p>
      <w:pPr>
        <w:pStyle w:val="Heading2"/>
      </w:pPr>
      <w:r>
        <w:t xml:space="preserve">Relations</w:t>
      </w:r>
    </w:p>
    <w:p>
      <w:pPr>
        <w:spacing w:after="120"/>
      </w:pPr>
      <w:r>
        <w:t xml:space="preserve">Graphe des relations d'une entité : parents N:1, enfants 1:N, N:N. Les relations </w:t>
      </w:r>
      <w:r>
        <w:rPr>
          <w:b/>
          <w:bCs/>
        </w:rPr>
        <w:t xml:space="preserve">métier</w:t>
      </w:r>
      <w:r>
        <w:t xml:space="preserve"> s'affichent d'abord ; la plomberie système (createdby, owner, devise…) est masquée derrière un toggle. ↻ recharge depuis l'org (les métadonnées sont cachées 1 h). Profondeur 1-2, clic pour naviguer.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Parcourez les solutions installées et leurs composants, résolus en noms lisibles (13 types : entités, attributs, vues, plugins, web resources, rôles…). Badges Managed/Unmanaged.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Affichez et éditez les libellés de champs dans toutes les langues installées, inline. Les champs non renommables sont verrouillés. Export/import CSV pour les traductions en masse, publication automatique.</w:t>
      </w:r>
    </w:p>
    <w:p>
      <w:pPr>
        <w:pStyle w:val="Heading1"/>
      </w:pPr>
      <w:r>
        <w:t xml:space="preserve">8. Modules d'administration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Tous les utilisateurs avec Access Mode, CAL Type, BU, rôles de sécurité et </w:t>
      </w:r>
      <w:r>
        <w:rPr>
          <w:b/>
          <w:bCs/>
        </w:rPr>
        <w:t xml:space="preserve">dernière connexion</w:t>
      </w:r>
      <w:r>
        <w:t xml:space="preserve"> (via l'audit). Statistiques par type de licence, détection des licences inutilisées (désactivés, jamais connectés). Export CSV.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Tous les rôles de sécurité avec leurs privilèges en libellés lisibles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« Delete · Account »), badges de profondeur (User / BU / Parent:Child / </w:t>
      </w:r>
      <w:r>
        <w:rPr>
          <w:b/>
          <w:bCs/>
        </w:rPr>
        <w:t xml:space="preserve">Org</w:t>
      </w:r>
      <w:r>
        <w:t xml:space="preserve"> en rouge), et plus de 30 privilèges sensibles signalés. Export CSV par rôle.</w:t>
      </w:r>
    </w:p>
    <w:p>
      <w:pPr>
        <w:pStyle w:val="Heading2"/>
      </w:pPr>
      <w:r>
        <w:t xml:space="preserve">Teams</w:t>
      </w:r>
    </w:p>
    <w:p>
      <w:pPr>
        <w:spacing w:after="120"/>
      </w:pPr>
      <w:r>
        <w:t xml:space="preserve">Toutes les teams de l'org par type (propriétaires, groupes Entra, access teams chargées à la demande) : les membres, et surtout les </w:t>
      </w:r>
      <w:r>
        <w:rPr>
          <w:b/>
          <w:bCs/>
        </w:rPr>
        <w:t xml:space="preserve">rôles de sécurité portés par la team</w:t>
      </w:r>
      <w:r>
        <w:t xml:space="preserve"> — hérités par chaque membre sans jamais apparaître sur sa fiche. C'est la réponse à « pourquoi cet utilisateur a-t-il ce droit ? ». Pour les teams Entra : Object ID du groupe copiable, et rappel que la composition se matérialise au prochain accès de l'utilisateur.</w:t>
      </w:r>
    </w:p>
    <w:p>
      <w:pPr>
        <w:pStyle w:val="Heading2"/>
      </w:pPr>
      <w:r>
        <w:t xml:space="preserve">Storage</w:t>
      </w:r>
    </w:p>
    <w:p>
      <w:pPr>
        <w:spacing w:after="120"/>
      </w:pPr>
      <w:r>
        <w:t xml:space="preserve">Où part votre capacité Dataverse : le nombre de lignes de </w:t>
      </w:r>
      <w:r>
        <w:rPr>
          <w:b/>
          <w:bCs/>
        </w:rPr>
        <w:t xml:space="preserve">chaque table</w:t>
      </w:r>
      <w:r>
        <w:t xml:space="preserve"> (instantané Dataverse de moins de 24 h — toute l'org en quelques secondes), classé et étiqueté Database / File / Log, les </w:t>
      </w:r>
      <w:r>
        <w:rPr>
          <w:b/>
          <w:bCs/>
        </w:rPr>
        <w:t xml:space="preserve">tables système qui grossissent en silence</w:t>
      </w:r>
      <w:r>
        <w:t xml:space="preserve"> avec l'action de nettoyage qui s'applique, et le </w:t>
      </w:r>
      <w:r>
        <w:rPr>
          <w:b/>
          <w:bCs/>
        </w:rPr>
        <w:t xml:space="preserve">stockage File par table en octets réels</w:t>
      </w:r>
      <w:r>
        <w:t xml:space="preserve"> (notes, colonnes File/Image, pièces jointes), calculé en arrière-plan. Les Go facturés restent consultables dans le centre d'admin Power Platform (Licensing → Dataverse) — le module y renvoie.</w:t>
      </w:r>
    </w:p>
    <w:p>
      <w:pPr>
        <w:pStyle w:val="Heading2"/>
      </w:pPr>
      <w:r>
        <w:t xml:space="preserve">Business Units &amp; Adoption</w:t>
      </w:r>
    </w:p>
    <w:p>
      <w:pPr>
        <w:spacing w:after="120"/>
      </w:pPr>
      <w:r>
        <w:t xml:space="preserve">Hiérarchie des business units en arbre ou en </w:t>
      </w:r>
      <w:r>
        <w:rPr>
          <w:b/>
          <w:bCs/>
        </w:rPr>
        <w:t xml:space="preserve">organigramme plein écran</w:t>
      </w:r>
      <w:r>
        <w:t xml:space="preserve"> (export PNG). Déplacement d'utilisateurs en masse — cochez, ou </w:t>
      </w:r>
      <w:r>
        <w:rPr>
          <w:b/>
          <w:bCs/>
        </w:rPr>
        <w:t xml:space="preserve">collez une liste d'emails</w:t>
      </w:r>
      <w:r>
        <w:t xml:space="preserve"> (sélection dans la BU affichée, ou recherche org entière pour déplacer VERS la BU) — avec la vérité sur les rôles annoncée avant confirmation. </w:t>
      </w:r>
      <w:r>
        <w:rPr>
          <w:b/>
          <w:bCs/>
        </w:rPr>
        <w:t xml:space="preserve">Adoption</w:t>
      </w:r>
      <w:r>
        <w:t xml:space="preserve"> : événements d'accès, DAU/WAU/MAU, taux par BU, inactivité, rapport PowerPoint en un clic.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Chronologie des accès par utilisateur (audit d'accès D365) : via l'application ou via les services web (API), jours actifs, dernier accès, export CSV/Excel — Dataverse n'a pas d'événement de déconnexion, donc pas de durée de session. Nécessite l'audit activé avec « Audit user access ».</w:t>
      </w:r>
    </w:p>
    <w:p>
      <w:pPr>
        <w:pStyle w:val="Heading1"/>
      </w:pPr>
      <w:r>
        <w:t xml:space="preserve">9. Exports et nommage des fichiers</w:t>
      </w:r>
    </w:p>
    <w:p>
      <w:pPr>
        <w:spacing w:after="120"/>
      </w:pPr>
      <w:r>
        <w:t xml:space="preserve">Tous les exports suivent la même convention de nommage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&lt;objet&gt;_&lt;YYYYMMDD&gt;.&lt;ext&gt;</w:t>
      </w:r>
      <w:r>
        <w:t xml:space="preserve"> — ex.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logs d'import ajoutent l'heure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plusieurs runs le même jour ne s'écrasent pas.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cellules CSV sont protégées contre l'injection de formules ; les exports XLSX conservent de </w:t>
      </w:r>
      <w:r>
        <w:rPr>
          <w:b/>
          <w:bCs/>
        </w:rPr>
        <w:t xml:space="preserve">vraies cellules numériques</w:t>
      </w:r>
      <w:r>
        <w:t xml:space="preserve"> (SUM fonctionne).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ouvre les fichiers téléchargés en </w:t>
      </w:r>
      <w:r>
        <w:rPr>
          <w:b/>
          <w:bCs/>
          <w:color w:val="6B778C"/>
          <w:sz w:val="20"/>
          <w:szCs w:val="20"/>
        </w:rPr>
        <w:t xml:space="preserve">Mode protégé</w:t>
      </w:r>
      <w:r>
        <w:rPr>
          <w:color w:val="6B778C"/>
          <w:sz w:val="20"/>
          <w:szCs w:val="20"/>
        </w:rPr>
        <w:t xml:space="preserve"> (« Activer la modification ») : c'est une protection Windows/Office sur tout téléchargement internet, pas un réglage Colvio. Pour l'éviter au quotidien, ajoutez votre dossier d'exports aux Emplacements approuvés d'Excel.</w:t>
      </w:r>
    </w:p>
    <w:p>
      <w:r>
        <w:br w:type="page"/>
      </w:r>
    </w:p>
    <w:p>
      <w:pPr>
        <w:pStyle w:val="Heading1"/>
      </w:pPr>
      <w:r>
        <w:t xml:space="preserve">10. Dépannage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Symptôme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Explication et solution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Session expirée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session D365 a expiré. Rafraîchissez l'onglet D365 (F5) puis cliquez Reconnect dans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en 404 en mode UPDATE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Comportement voulu : la clé ne matche aucun enregistrement et UPDATE ne crée jamais. Utilisez UPSERT pour créer.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Lookup not found / check failed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valeur n'a pas pu être résolue. La ligne suit votre fallback (Skip/Null/Error). Vérifiez le champ clé D365 du lookup.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Labels d'option-set non convertis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label CSV n'existe pas dans l'OptionSet. Vérifiez les libellés exacts dans le Metadata Browser, ou utilisez les valeurs numériques.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Throttling Dataverse (Service Protection). Colvio retry automatiquement ; si cela persiste, baissez threads et taille de lot.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Badge PROD inattendu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badge mappe l'enum OrganizationType : une prod répond Customer ou Secondary, et toute valeur inconnue est présumée PROD (fail-closed) — un badge PROD « en trop » coûte un clic de confirmation, jamais l'inverse.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Import lent sur de très gros fichiers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Montez à 8-10 threads et 500 de lot ; en tant qu'admin, envisagez les Speed boosters (données déjà validées uniquement).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demande « Activer la modification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Mode protégé Windows/Office sur les téléchargements — voir section 9.</w:t>
            </w:r>
          </w:p>
        </w:tc>
      </w:tr>
    </w:tbl>
    <w:p>
      <w:pPr>
        <w:pStyle w:val="Heading1"/>
      </w:pPr>
      <w:r>
        <w:t xml:space="preserve">11. Raccourcis clavier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Raccourci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Entrée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Exécuter la requête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Ouvrir le panneau des raccourcis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Échap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Fermer la fenêtre / le panneau actif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 sur une cellule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Édition inline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Guide de formation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ed38acfdc40f48ce4252597b2ee0cc5e379ef8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Guide de formation</dc:title>
  <dc:creator>Colvio</dc:creator>
  <cp:lastModifiedBy>Un-named</cp:lastModifiedBy>
  <cp:revision>1</cp:revision>
  <dcterms:created xsi:type="dcterms:W3CDTF">2026-10-05T14:59:21.108Z</dcterms:created>
  <dcterms:modified xsi:type="dcterms:W3CDTF">2026-10-05T14:59:21.109Z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