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b/>
          <w:bCs/>
          <w:color w:val="5B3FD6"/>
          <w:sz w:val="72"/>
          <w:szCs w:val="72"/>
        </w:rPr>
        <w:t xml:space="preserve">Colvio</w:t>
      </w:r>
    </w:p>
    <w:p>
      <w:pPr>
        <w:spacing w:before="160"/>
        <w:jc w:val="center"/>
      </w:pPr>
      <w:r>
        <w:rPr>
          <w:b/>
          <w:bCs/>
          <w:color w:val="172B4D"/>
          <w:sz w:val="40"/>
          <w:szCs w:val="40"/>
        </w:rPr>
        <w:t xml:space="preserve">Technical Specification</w:t>
      </w:r>
    </w:p>
    <w:p>
      <w:pPr>
        <w:spacing w:before="120"/>
        <w:jc w:val="center"/>
      </w:pPr>
      <w:r>
        <w:rPr>
          <w:color w:val="6B778C"/>
          <w:sz w:val="26"/>
          <w:szCs w:val="26"/>
        </w:rPr>
        <w:t xml:space="preserve">Architecture, Dataverse integration, load engine, security</w:t>
      </w:r>
    </w:p>
    <w:p>
      <w:pPr>
        <w:spacing w:before="600"/>
        <w:jc w:val="center"/>
      </w:pPr>
      <w:r>
        <w:rPr>
          <w:color w:val="6B778C"/>
          <w:sz w:val="22"/>
          <w:szCs w:val="22"/>
        </w:rPr>
        <w:t xml:space="preserve">v1.11.171  ·  October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Colvio is a </w:t>
      </w:r>
      <w:r>
        <w:rPr>
          <w:b/>
          <w:bCs/>
        </w:rPr>
        <w:t xml:space="preserve">Manifest V3</w:t>
      </w:r>
      <w:r>
        <w:t xml:space="preserve"> Chrome extension (React 18 + Vite) for Microsoft Dynamics 365 / Dataverse. It ships 21 exploration, loading and audit modules with no backend at all: every request goes from the user's browser to their own org, authenticated by the existing session.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Lines of code (src)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~21 200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API actions (content script)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 tests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347 (Vitest)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Panel bundle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~996 KB (+ ~430 KB xlsx, ~373 KB pptxgen on demand)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Runtime dependencies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React 18, react-dom, xlsx (lazy), pptxgenjs (lazy)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Chrome permissions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scripting · storage · declarativeContent</w:t>
            </w:r>
          </w:p>
        </w:tc>
      </w:tr>
    </w:tbl>
    <w:p>
      <w:pPr>
        <w:pStyle w:val="Heading1"/>
      </w:pPr>
      <w:r>
        <w:t xml:space="preserve">2. Architecture</w:t>
      </w:r>
    </w:p>
    <w:p>
      <w:pPr>
        <w:spacing w:after="120"/>
      </w:pPr>
      <w:r>
        <w:t xml:space="preserve">Three isolated execution contexts communicate over Chrome messaging. The </w:t>
      </w:r>
      <w:r>
        <w:rPr>
          <w:b/>
          <w:bCs/>
        </w:rPr>
        <w:t xml:space="preserve">panel</w:t>
      </w:r>
      <w:r>
        <w:t xml:space="preserve"> (React) never touches Dataverse directly: every call relays through the </w:t>
      </w:r>
      <w:r>
        <w:rPr>
          <w:b/>
          <w:bCs/>
        </w:rPr>
        <w:t xml:space="preserve">service worker</w:t>
      </w:r>
      <w:r>
        <w:t xml:space="preserve"> (pure relay) to the </w:t>
      </w:r>
      <w:r>
        <w:rPr>
          <w:b/>
          <w:bCs/>
        </w:rPr>
        <w:t xml:space="preserve">content script</w:t>
      </w:r>
      <w:r>
        <w:t xml:space="preserve"> — the only privileged context — which performs the same-origin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fetch</w:t>
      </w:r>
      <w:r>
        <w:t xml:space="preserve"> with session cookies.</w:t>
      </w:r>
    </w:p>
    <w:p>
      <w:pPr>
        <w:spacing w:after="1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architecture.png" descr="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panel</w:t>
      </w:r>
      <w:r>
        <w:t xml:space="preserve"> (src/) — the React app: 39 components, one module = one tab. The bridge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d365-bridge.js</w:t>
      </w:r>
      <w:r>
        <w:t xml:space="preserve">) exposes the typed API and owns rate limiting (30 req/s), caching, and the bulk worker pools. Risky logic (typed write preparation, OData filters, history) lives in pure tested modules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updateUtils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filterUtils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historyUtils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loaderUtils</w:t>
      </w:r>
      <w:r>
        <w:t xml:space="preserve">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background.js</w:t>
      </w:r>
      <w:r>
        <w:t xml:space="preserve"> — service worker: panel ↔ content-script relay, </w:t>
      </w:r>
      <w:r>
        <w:rPr>
          <w:b/>
          <w:bCs/>
        </w:rPr>
        <w:t xml:space="preserve">resilient to browser tab sleep</w:t>
      </w:r>
      <w:r>
        <w:t xml:space="preserve"> (the D365 tab is pinned non-discardable, woken/re-injected as needed, replaced ids tracked via tabs.onReplaced) with an </w:t>
      </w:r>
      <w:r>
        <w:rPr>
          <w:b/>
          <w:bCs/>
        </w:rPr>
        <w:t xml:space="preserve">origin guard</w:t>
      </w:r>
      <w:r>
        <w:t xml:space="preserve">: a request never goes to a tab showing a different environment. Rejects any message whose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sender.id</w:t>
      </w:r>
      <w:r>
        <w:t xml:space="preserve"> isn't the 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content.js</w:t>
      </w:r>
      <w:r>
        <w:t xml:space="preserve"> — injected on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*.dynamics.com</w:t>
      </w:r>
      <w:r>
        <w:t xml:space="preserve">: org context extraction, </w:t>
      </w:r>
      <w:r>
        <w:rPr>
          <w:b/>
          <w:bCs/>
        </w:rPr>
        <w:t xml:space="preserve">73 actions</w:t>
      </w:r>
      <w:r>
        <w:t xml:space="preserve"> (query, metadata, batch…), input validation (entity/field regexes, GUIDs, control-char stripping), $batch building, 429 back-off.</w:t>
      </w:r>
    </w:p>
    <w:p>
      <w:pPr>
        <w:pStyle w:val="Heading2"/>
      </w:pPr>
      <w:r>
        <w:t xml:space="preserve">Message protocol</w:t>
      </w:r>
    </w:p>
    <w:p>
      <w:pPr>
        <w:spacing w:after="120"/>
      </w:pPr>
      <w:r>
        <w:t xml:space="preserve">Request: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{__d365InspectorRequest, id, action, params, d365TabId, orgUrl}</w:t>
      </w:r>
      <w:r>
        <w:t xml:space="preserve">; response: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{result}</w:t>
      </w:r>
      <w:r>
        <w:t xml:space="preserve"> or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{error}</w:t>
      </w:r>
      <w:r>
        <w:t xml:space="preserve">. Bridge timeouts: 30 s standard, 10 min for bulk operations. Bulk chunks are capped at 500 records per message to stay under Chrome's 64 MB IPC limit.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401/403 →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SESSION_EXPIRED</w:t>
      </w:r>
      <w:r>
        <w:t xml:space="preserve"> signal surfaced to the UI (Reconnect button).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cancellation: the bridge sends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abortBatch</w:t>
      </w:r>
      <w:r>
        <w:t xml:space="preserve">; the content script stops pending 429 retries and remaining chunks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resetBatchAbort</w:t>
      </w:r>
      <w:r>
        <w:t xml:space="preserve"> re-arms at each run start).</w:t>
      </w:r>
    </w:p>
    <w:p>
      <w:r>
        <w:br w:type="page"/>
      </w:r>
    </w:p>
    <w:p>
      <w:pPr>
        <w:pStyle w:val="Heading1"/>
      </w:pPr>
      <w:r>
        <w:t xml:space="preserve">3. Modules</w:t>
      </w:r>
    </w:p>
    <w:p>
      <w:pPr>
        <w:spacing w:after="120"/>
      </w:pPr>
      <w:r>
        <w:t xml:space="preserve">One module = one React component mounted in its own ErrorBoundary (a crash never takes down other tabs).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Technical role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Explorer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 query modes (Builder/OData/FetchXML/SQL), relational filters (parent nav-paths + any()/not any() lambdas), auto-pagination, virtual scrolling + sticky horizontal scrollbar, metadata-TYPED inline edit and bulk update (lookups via @odata.bind), duplicate finder, $batch bulk delete with ✕ Cancel, history restoring Builder queries into the Builder (values redacted — privacy).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SQL (2 engines)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Native: the SELECT goes straight to Dataverse via the Web API ?sql= option (multi-table JOINs with aliases, self-joins, DISTINCT, server-side GROUP BY; orgs without the option auto-detected). Transpiled: dedicated parser (</w:t>
            </w:r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sqlToFetchXml.js</w:t>
            </w:r>
            <w:r>
              <w:rPr>
                <w:sz w:val="20"/>
                <w:szCs w:val="20"/>
              </w:rPr>
              <w:t xml:space="preserve">, 43 tests) SELECT/JOIN/WHERE/GROUP BY → link-entity — the only engine with HAVING/TOP.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API Tester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customRequest</w:t>
            </w:r>
            <w:r>
              <w:rPr>
                <w:sz w:val="20"/>
                <w:szCs w:val="20"/>
              </w:rPr>
              <w:t xml:space="preserve"> action: whitelisted methods, host validated twice, 60 s timeout, raw response (status/headers/body) returned unmodified, .json/.txt download.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Loader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See section 5 — parsing, transforms, 4 modes, $batch engine, metadata-typed coercion, auto-resume after timeout.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Show All Data / Metadata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EntityDefinitions + attributes; typed inline field editing, LOOKUPS included (link/relink/clear via @odata.bind, GUID-validated); BPF manager; Virtual/Elastic filter chips; data-dictionary and OptionSet CSV exports.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Automation / Apps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Static inventory of plug-in steps + processes (Microsoft/Managed/Custom classification); model-driven app inventory (include-all inference, EXPLICIT/IMPLICIT badges, view inspector, subgrids, reverse search).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Defaults + typed overrides (yes/no, validated JSON, numbers), NO VALUE trap counted, secrets = Key Vault references.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Schema (ERD) / Relationships / Schema diff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Custom SVG rendering (drag/zoom/pan), dashed N:N edges in the ERD, business relationships first in the graph (system plumbing behind a toggle, cache-clearing ↻), PNG 2x / SVG / Mermaid exports; JSON snapshots + ranked cross-org diff.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Solutions / Translations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Components resolved (40+ types), intra-org and cross-org compare (compare file, two-pass matching); multilingual labels + solution-wide zip export/import (ExportTranslation).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Recycle Bin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FetchXML datasource='bin' + Restore action; enablement detection; MS limitations surfaced.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Audit History / System Ops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audits + RetrieveAuditDetails; asyncoperation (bulk cancel/resume), plug-in traces (quick ~24 h windows), solution cloud-flow runs (flowrun table).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Users &amp; Licenses / Security Audit / Login History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Full systemusers pagination, per-role privileges + matrix + org-wide view, bulk role assignment, audit logs. Tabs hidden without rights.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Business Units / Adoption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Hierarchy + full-screen org chart (PNG), bulk user move (roles truth stated first), paste-a-list selection and move-INTO-a-BU by pasted email list (org-wide match); adoption analytics (server-side per-day aggregation, DAU/WAU/MAU, service accounts separated, native PowerPoint report).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Owner / Entra group / access teams (lazy-loaded, 500 cap): members, carried security roles (inherited by members without ever showing on the user), copiable Entra Object ID, lazy-materialization truth stated. Read-only.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Rows per table for the whole org via RetrieveTotalRecordCount (Dataverse snapshot ≤ 24 h, a few chunked calls, bisection isolating any refused table); storage class per Microsoft's split (File / Log incl. elastic tables / Database); file bytes per table (aggregates over notes, file/image columns, attachments) in the background with period bisection past 50,000 rows. Billed GB stay in the admin center (app-registration API).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Dataverse integration</w:t>
      </w:r>
    </w:p>
    <w:p>
      <w:pPr>
        <w:pStyle w:val="Heading2"/>
      </w:pPr>
      <w:r>
        <w:t xml:space="preserve">Context &amp; authentication</w:t>
      </w:r>
    </w:p>
    <w:p>
      <w:pPr>
        <w:spacing w:after="120"/>
      </w:pPr>
      <w:r>
        <w:t xml:space="preserve">The content script extracts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clientUrl</w:t>
      </w:r>
      <w:r>
        <w:t xml:space="preserve"> and the API version from the D365 page context. All calls are </w:t>
      </w:r>
      <w:r>
        <w:rPr>
          <w:b/>
          <w:bCs/>
        </w:rPr>
        <w:t xml:space="preserve">same-origin</w:t>
      </w:r>
      <w:r>
        <w:t xml:space="preserve">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fetch</w:t>
      </w:r>
      <w:r>
        <w:t xml:space="preserve"> with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credentials:"same-origin"</w:t>
      </w:r>
      <w:r>
        <w:t xml:space="preserve"> — Azure AD/Entra session cookies carry authentication. No token is ever extracted, stored or handled.</w:t>
      </w:r>
    </w:p>
    <w:p>
      <w:pPr>
        <w:pStyle w:val="Heading2"/>
      </w:pPr>
      <w:r>
        <w:t xml:space="preserve">Environment detection</w:t>
      </w:r>
    </w:p>
    <w:p>
      <w:pPr>
        <w:spacing w:after="12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RetrieveCurrentOrganization</w:t>
      </w:r>
      <w:r>
        <w:t xml:space="preserve"> provides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OrganizationType</w:t>
      </w:r>
      <w:r>
        <w:t xml:space="preserve"> — the badge's source of truth, mapped on Microsoft's DOCUMENTED enum: a production org reports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</w:t>
      </w:r>
      <w:r>
        <w:t xml:space="preserve"> or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Secondary</w:t>
      </w:r>
      <w:r>
        <w:t xml:space="preserve"> (the enum has NO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Production</w:t>
      </w:r>
      <w:r>
        <w:t xml:space="preserve"> member),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CustomerTest</w:t>
      </w:r>
      <w:r>
        <w:t xml:space="preserve">/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CustomerFreeTest</w:t>
      </w:r>
      <w:r>
        <w:t xml:space="preserve"> = sandbox,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TestDrive</w:t>
      </w:r>
      <w:r>
        <w:t xml:space="preserve">/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Trial</w:t>
      </w:r>
      <w:r>
        <w:t xml:space="preserve"> = trial. Unknown values are presumed production (fail-closed: PROD confirmations can never be disarmed by a new type). The hostname heuristic is fallback only.</w:t>
      </w:r>
    </w:p>
    <w:p>
      <w:pPr>
        <w:pStyle w:val="Heading2"/>
      </w:pPr>
      <w:r>
        <w:t xml:space="preserve">Metadata cache</w:t>
      </w:r>
    </w:p>
    <w:p>
      <w:pPr>
        <w:spacing w:after="120"/>
      </w:pPr>
      <w:r>
        <w:t xml:space="preserve">Two tiers: in-memory (session) +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chrome.storage.local</w:t>
      </w:r>
      <w:r>
        <w:t xml:space="preserve"> (persistent). Keys are </w:t>
      </w:r>
      <w:r>
        <w:rPr>
          <w:b/>
          <w:bCs/>
        </w:rPr>
        <w:t xml:space="preserve">org-prefixed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d365_cache_&lt;org&gt;_…</w:t>
      </w:r>
      <w:r>
        <w:t xml:space="preserve">) — no cross-environment bleed. On storage-quota exhaustion the cache </w:t>
      </w:r>
      <w:r>
        <w:rPr>
          <w:b/>
          <w:bCs/>
        </w:rPr>
        <w:t xml:space="preserve">self-evicts</w:t>
      </w:r>
      <w:r>
        <w:t xml:space="preserve"> (other orgs first, then the current org, then in-memory fallback): a cache write can never break a feature.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1974"/>
        <w:gridCol w:w="4232"/>
      </w:tblGrid>
      <w:tr>
        <w:trPr>
          <w:tblHeader/>
        </w:trP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TTL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Entities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logical name, display name, EntitySetName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Fields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type, required, IsValidForCreate/Update, custom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Lookups / OptionSets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N:1 relationships, option values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EntitySetName (single resolution)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exact collection name (irregular plurals)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Loader engine</w:t>
      </w:r>
    </w:p>
    <w:p>
      <w:pPr>
        <w:pStyle w:val="Heading2"/>
      </w:pPr>
      <w:r>
        <w:t xml:space="preserve">Parsing (loaderUtils.js — unit-tested)</w:t>
      </w:r>
    </w:p>
    <w:p>
      <w:pPr>
        <w:spacing w:after="120"/>
      </w:pPr>
      <w:r>
        <w:t xml:space="preserve">Character-level </w:t>
      </w:r>
      <w:r>
        <w:rPr>
          <w:b/>
          <w:bCs/>
        </w:rPr>
        <w:t xml:space="preserve">RFC-4180</w:t>
      </w:r>
      <w:r>
        <w:t xml:space="preserve"> parser: quoted fields, embedded delimiters and line breaks, escaped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""</w:t>
      </w:r>
      <w:r>
        <w:t xml:space="preserve">. Delimiter detection: an unquoted tab wins (Excel paste), else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;</w:t>
      </w:r>
      <w:r>
        <w:t xml:space="preserve"> vs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,</w:t>
      </w:r>
      <w:r>
        <w:t xml:space="preserve"> count outside quotes. Excel files are read </w:t>
      </w:r>
      <w:r>
        <w:rPr>
          <w:b/>
          <w:bCs/>
        </w:rPr>
        <w:t xml:space="preserve">straight to rows</w:t>
      </w:r>
      <w:r>
        <w:t xml:space="preserve"> (sheet_to_json, no CSV round-trip). Values trimmed, leading zeros preserved (no numeric coercion).</w:t>
      </w:r>
    </w:p>
    <w:p>
      <w:pPr>
        <w:pStyle w:val="Heading2"/>
      </w:pPr>
      <w:r>
        <w:t xml:space="preserve">Transforms</w:t>
      </w:r>
    </w:p>
    <w:p>
      <w:pPr>
        <w:spacing w:after="12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applyTransform(value, transform, optionMap)</w:t>
      </w:r>
      <w:r>
        <w:t xml:space="preserve"> — pure, tested functions: picklist/statecode (label→value via preloaded OptionSet, </w:t>
      </w:r>
      <w:r>
        <w:rPr>
          <w:b/>
          <w:bCs/>
        </w:rPr>
        <w:t xml:space="preserve">label lookup before</w:t>
      </w:r>
      <w:r>
        <w:t xml:space="preserve"> strict numeric passthrough), date_iso (DateOnly verbatim, dd/mm/yyyy, US swap when month &gt; 12, 24h/AM-PM time → local→UTC ISO), locale-aware int/float (spaces/NBSP, decimal comma, thousands), EN/FR booleans. Unconverted labels are collected and surfaced after the run.</w:t>
      </w:r>
    </w:p>
    <w:p>
      <w:pPr>
        <w:pStyle w:val="Heading2"/>
      </w:pPr>
      <w:r>
        <w:t xml:space="preserve">The 4 modes</w:t>
      </w:r>
    </w:p>
    <w:p>
      <w:pPr>
        <w:spacing w:after="120"/>
      </w:pPr>
      <w:r>
        <w:t xml:space="preserve">The key (PK or single-attribute alternate key) addresses the record in the URL — never duplicated in the body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buildClean</w:t>
      </w:r>
      <w:r>
        <w:t xml:space="preserve"> strips it as defense). </w:t>
      </w:r>
      <w:r>
        <w:rPr>
          <w:b/>
          <w:bCs/>
        </w:rPr>
        <w:t xml:space="preserve">UPDATE</w:t>
      </w:r>
      <w:r>
        <w:t xml:space="preserve">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If-Match: *</w:t>
      </w:r>
      <w:r>
        <w:t xml:space="preserve"> on every $batch PATCH </w:t>
      </w:r>
      <w:r>
        <w:rPr>
          <w:b/>
          <w:bCs/>
        </w:rPr>
        <w:t xml:space="preserve">and</w:t>
      </w:r>
      <w:r>
        <w:t xml:space="preserve"> on the serial fallback; empty-key rows rejected client-side; optional existence pre-check (OR queries of 80, GUID normalization on both sides, per-value fallback on 400, never a global abort). </w:t>
      </w:r>
      <w:r>
        <w:rPr>
          <w:b/>
          <w:bCs/>
        </w:rPr>
        <w:t xml:space="preserve">UPSERT</w:t>
      </w:r>
      <w:r>
        <w:t xml:space="preserve"> by alt-key: direct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entityset(field='value')</w:t>
      </w:r>
      <w:r>
        <w:t xml:space="preserve"> binding. </w:t>
      </w:r>
      <w:r>
        <w:rPr>
          <w:b/>
          <w:bCs/>
        </w:rPr>
        <w:t xml:space="preserve">DELETE</w:t>
      </w:r>
      <w:r>
        <w:t xml:space="preserve">: DELETE by key, same logging guarantees.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modes.png" descr="Import modes" title="Import 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$batch engine</w:t>
      </w:r>
    </w:p>
    <w:p>
      <w:pPr>
        <w:spacing w:after="120"/>
      </w:pPr>
      <w:r>
        <w:t xml:space="preserve">The bridge chunks (≤500) across a worker pool (1-10, default 6). The content script builds the multipart: </w:t>
      </w:r>
      <w:r>
        <w:rPr>
          <w:b/>
          <w:bCs/>
        </w:rPr>
        <w:t xml:space="preserve">one changeset per record</w:t>
      </w:r>
      <w:r>
        <w:t xml:space="preserve"> (per-row atomicity, no batch rollback), If-Match/MSCRM headers injected per operation. Responses parsed by positional Content-ID → per-row log. 429: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Retry-After</w:t>
      </w:r>
      <w:r>
        <w:t xml:space="preserve"> retry (30 s cap, 4 attempts) at the $batch level </w:t>
      </w:r>
      <w:r>
        <w:rPr>
          <w:b/>
          <w:bCs/>
        </w:rPr>
        <w:t xml:space="preserve">and</w:t>
      </w:r>
      <w:r>
        <w:t xml:space="preserve"> inside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dvRequest</w:t>
      </w:r>
      <w:r>
        <w:t xml:space="preserve"> (resolutions, pre-checks).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batch.png" descr="Bulk engine" title="Bulk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Cancellation</w:t>
      </w:r>
    </w:p>
    <w:p>
      <w:pPr>
        <w:spacing w:after="120"/>
      </w:pPr>
      <w:r>
        <w:t xml:space="preserve">Three levels: the bridge pool stops dispatching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shouldAbort</w:t>
      </w:r>
      <w:r>
        <w:t xml:space="preserve">), the content script receives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abortBatch</w:t>
      </w:r>
      <w:r>
        <w:t xml:space="preserve"> (run-scoped flag) which interrupts waiting 429 retries and remaining chunks, and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resetBatchAbort</w:t>
      </w:r>
      <w:r>
        <w:t xml:space="preserve"> re-arms the next run. Guarantee: </w:t>
      </w:r>
      <w:r>
        <w:rPr>
          <w:b/>
          <w:bCs/>
        </w:rPr>
        <w:t xml:space="preserve">no writes after cancel</w:t>
      </w:r>
      <w:r>
        <w:t xml:space="preserve">.</w:t>
      </w:r>
    </w:p>
    <w:p>
      <w:pPr>
        <w:pStyle w:val="Heading2"/>
      </w:pPr>
      <w:r>
        <w:t xml:space="preserve">Logging</w:t>
      </w:r>
    </w:p>
    <w:p>
      <w:pPr>
        <w:spacing w:after="120"/>
      </w:pPr>
      <w:r>
        <w:t xml:space="preserve">Two structures: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fullLog</w:t>
      </w:r>
      <w:r>
        <w:t xml:space="preserve"> (ref, outside React — every row, O(1) memory per row) and a display buffer bounded at 300 entries (ring buffer, aggregated counters). Per-row details rebuild the exact request (same transforms + optionMaps as the send). Exports: full log, errors only, injection-protected CSV.</w:t>
      </w:r>
    </w:p>
    <w:p>
      <w:r>
        <w:br w:type="page"/>
      </w:r>
    </w:p>
    <w:p>
      <w:pPr>
        <w:pStyle w:val="Heading1"/>
      </w:pPr>
      <w:r>
        <w:t xml:space="preserve">6. Security</w:t>
      </w:r>
    </w:p>
    <w:p>
      <w:pPr>
        <w:spacing w:after="120"/>
      </w:pPr>
      <w:r>
        <w:t xml:space="preserve">Successive audits: 4 dimensions + 7-angle review (June 2026), write-path audit (August), 8-lens product audit (September), pre-publication review (September): </w:t>
      </w:r>
      <w:r>
        <w:rPr>
          <w:b/>
          <w:bCs/>
        </w:rPr>
        <w:t xml:space="preserve">0 open critical or high findings</w:t>
      </w:r>
      <w:r>
        <w:t xml:space="preserve">. All writes remain subject to server-side Dataverse roles.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security.png" descr="Defense in depth" title="Defense in d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 egress</w:t>
      </w:r>
      <w:r>
        <w:t xml:space="preserve">: every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fetch</w:t>
      </w:r>
      <w:r>
        <w:t xml:space="preserve"> targets the user's own org; no analytics, telemetry, CDNs or external fonts.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Systematic content-script validation: entity/field regexes, GUIDs, control-char stripping in key values (anti-CRLF in $batch).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Tester: host re-validated after final URL assembly; history saved with </w:t>
      </w:r>
      <w:r>
        <w:rPr>
          <w:b/>
          <w:bCs/>
        </w:rPr>
        <w:t xml:space="preserve">secret headers redacted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exports: formula-injection prefix; XLSX: typed cells (strings are inert there).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MSCRM boosters gated on the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prvBypassCustomPlugins</w:t>
      </w:r>
      <w:r>
        <w:t xml:space="preserve"> privilege (System Administrator).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 CSP on panel.html; non-enumerable content-script marker;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sender.id</w:t>
      </w:r>
      <w:r>
        <w:t xml:space="preserve"> checked in the service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Centralized typed writes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updateUtils</w:t>
      </w:r>
      <w:r>
        <w:t xml:space="preserve">, tested): every typed-in value is converted by the field's real type and refused readably before sending — text in a GUID/lookup or a mistyped number never reaches the server (and never silently clears a field).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Relay origin guard</w:t>
      </w:r>
      <w:r>
        <w:t xml:space="preserve">: the panel states its org on every request; the service worker refuses any tab showing a different environment (and refuses requests with no stated org — fail-closed).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History privacy</w:t>
      </w:r>
      <w:r>
        <w:t xml:space="preserve">: filter values never persist — OData $filter, SQL literals and FetchXML values are redacted before storage, and entries saved by older versions are scrubbed on load (idempotent upgrade scrub).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 confirmations</w:t>
      </w:r>
      <w:r>
        <w:t xml:space="preserve"> on every destructive surface (Loader runs, bulk update/delete, inline edits, BU moves), armed by the real environment detection.</w:t>
      </w:r>
    </w:p>
    <w:p>
      <w:pPr>
        <w:pStyle w:val="Heading1"/>
      </w:pPr>
      <w:r>
        <w:t xml:space="preserve">7.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rate-limit 30 req/s + 429 back-off; bulk worker pools (default 6; Dataverse allows 52 connections).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scrolling (~35 rendered rows regardless of volume); bounded live log (300) + full ref outside re-renders.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Lazy-loaded xlsx</w:t>
      </w:r>
      <w:r>
        <w:t xml:space="preserve">: panel ~490 KB; the ~430 KB xlsx chunk loads only on Excel drop/export.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Two-tier metadata cache; debounced searches; parallel OptionSet preloading.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caps (500 rows + honest banner) on potentially huge lists (role/BU/team members, users, adoption) — selection, filters and exports still cover the full list.</w:t>
      </w:r>
    </w:p>
    <w:p>
      <w:pPr>
        <w:pStyle w:val="Heading1"/>
      </w:pPr>
      <w:r>
        <w:t xml:space="preserve">8. Build, tests &amp; release</w:t>
      </w:r>
    </w:p>
    <w:p>
      <w:pPr>
        <w:spacing w:after="120"/>
      </w:pPr>
      <w:r>
        <w:t xml:space="preserve">Vite (build &lt; 2 s) + post-build script (manifest/content/background copy, icons). </w:t>
      </w:r>
      <w:r>
        <w:rPr>
          <w:b/>
          <w:bCs/>
        </w:rPr>
        <w:t xml:space="preserve">347 Vitest tests</w:t>
      </w:r>
      <w:r>
        <w:t xml:space="preserve">: SQL parser (43), envDetect/sqlNative/teamUtils/relGraphUtils/loginHistoryUtils (fail-closed environment badge, native SQL engine, Teams, relationship classification, audit access channels), loaderUtils (transforms, RFC-4180 parser, typed coercion), updateUtils/filterUtils/historyUtils (writes, filters, history), adoption/BU/solutions/duplicates, i18n coverage (every t() key present in both locales). ESLint (real-bug rules: no-undef, no-dupe-keys…) in every pre-release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run build</w:t>
      </w:r>
      <w:r>
        <w:t xml:space="preserve"> →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dist/</w:t>
      </w:r>
      <w:r>
        <w:t xml:space="preserve"> loadable in Developer Mode; release zip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colvio-&lt;version&gt;.zip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run pack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Flow: commit on main → build + tests + lint → zip → GitHub push → Chrome Web Store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kept in sync across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package.json</w:t>
      </w:r>
      <w:r>
        <w:t xml:space="preserve"> +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manifest.json</w:t>
      </w:r>
      <w:r>
        <w:t xml:space="preserve">; exhaustive CHANGELOG.md.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Source code: github.com/zmissoum/colvio — MIT license.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jc w:val="center"/>
    </w:pPr>
    <w:r>
      <w:rPr>
        <w:color w:val="6B778C"/>
        <w:sz w:val="17"/>
        <w:szCs w:val="17"/>
      </w:rPr>
      <w:t xml:space="preserve">Colvio v1.11.171 — Technical Specification  —  </w:t>
    </w:r>
    <w:r>
      <w:rPr>
        <w:color w:val="6B77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5B3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bd0e107395d77fd9fae8da01797b4dccb24248.png"/><Relationship Id="rId9" Type="http://schemas.openxmlformats.org/officeDocument/2006/relationships/image" Target="media/bc037ab195c51b3ea870c9cebd8a96bab2bb223f.png"/><Relationship Id="rId10" Type="http://schemas.openxmlformats.org/officeDocument/2006/relationships/image" Target="media/668625fd2e88d584f0e73a59937b95f5d49e8edd.png"/><Relationship Id="rId11" Type="http://schemas.openxmlformats.org/officeDocument/2006/relationships/image" Target="media/bb471ff10a5f76fb771f8522d1fdf0f4f706c9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Colvio — Technical Specification</dc:title>
  <dc:creator>Colvio</dc:creator>
  <cp:lastModifiedBy>Un-named</cp:lastModifiedBy>
  <cp:revision>1</cp:revision>
  <dcterms:created xsi:type="dcterms:W3CDTF">2026-10-05T14:59:20.974Z</dcterms:created>
  <dcterms:modified xsi:type="dcterms:W3CDTF">2026-10-05T14:59:20.974Z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