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eastAsia="Microsoft YaHei" w:hAnsi="Arial"/>
          <w:b/>
          <w:bCs/>
          <w:color w:val="1a5276"/>
          <w:sz w:val="40"/>
          <w:szCs w:val="40"/>
        </w:rPr>
        <w:t xml:space="preserve">ReAct: Synergizing Reasoning and Acting in Language Models</w:t>
      </w:r>
    </w:p>
    <w:p>
      <w:pPr>
        <w:spacing w:after="100"/>
        <w:jc w:val="center"/>
      </w:pPr>
      <w:r>
        <w:rPr>
          <w:rFonts w:ascii="Arial" w:eastAsia="Microsoft YaHei" w:hAnsi="Arial"/>
          <w:b/>
          <w:bCs/>
          <w:color w:val="2874a6"/>
          <w:sz w:val="36"/>
          <w:szCs w:val="36"/>
        </w:rPr>
        <w:t xml:space="preserve">论文综述</w:t>
      </w:r>
    </w:p>
    <w:p>
      <w:pPr>
        <w:spacing w:after="400"/>
        <w:jc w:val="center"/>
      </w:pPr>
      <w:r>
        <w:rPr>
          <w:rFonts w:ascii="Arial" w:eastAsia="Microsoft YaHei" w:hAnsi="Arial"/>
          <w:color w:val="5d6d7e"/>
          <w:sz w:val="28"/>
          <w:szCs w:val="28"/>
        </w:rPr>
        <w:t xml:space="preserve">让大语言模型既能思考，又能行动</w:t>
      </w:r>
    </w:p>
    <w:p>
      <w:pPr>
        <w:spacing w:after="600"/>
        <w:jc w:val="center"/>
      </w:pPr>
      <w:r>
        <w:rPr>
          <w:rFonts w:ascii="Arial" w:eastAsia="Microsoft YaHei" w:hAnsi="Arial"/>
          <w:color w:val="666666"/>
          <w:sz w:val="22"/>
          <w:szCs w:val="22"/>
        </w:rPr>
        <w:t xml:space="preserve">作者: Shunyu Yao, Jeffrey Zhao, Dian Yu 等 | ICLR 2023</w:t>
      </w:r>
    </w:p>
    <w:p>
      <w:pPr>
        <w:spacing w:after="2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52750"/>
                    </a:xfrm>
                    <a:prstGeom prst="rect">
                      <a:avLst/>
                    </a:prstGeom>
                  </pic:spPr>
                </pic:pic>
              </a:graphicData>
            </a:graphic>
          </wp:inline>
        </w:drawing>
      </w:r>
    </w:p>
    <w:p>
      <w:pPr>
        <w:spacing w:after="400"/>
        <w:jc w:val="center"/>
      </w:pPr>
      <w:r>
        <w:rPr>
          <w:i/>
          <w:iCs/>
          <w:color w:val="666666"/>
          <w:sz w:val="20"/>
          <w:szCs w:val="20"/>
        </w:rPr>
        <w:t xml:space="preserve">图1: ReAct核心概念 - 推理与行动的协同</w:t>
      </w:r>
    </w:p>
    <w:p>
      <w:pPr>
        <w:pStyle w:val="Heading1"/>
      </w:pPr>
      <w:r>
        <w:t xml:space="preserve">一、研究背景与动机</w:t>
      </w:r>
    </w:p>
    <w:p>
      <w:pPr>
        <w:spacing w:after="200"/>
      </w:pPr>
      <w:r>
        <w:t xml:space="preserve">大型语言模型（LLMs）在语言理解和交互决策任务中展现了令人印象深刻的能力。然而，此前研究将推理能力（如思维链提示）和行动能力（如动作计划生成）作为两个独立的课题分别探索。</w:t>
      </w:r>
    </w:p>
    <w:p>
      <w:pPr>
        <w:spacing w:after="200"/>
      </w:pPr>
      <w:r>
        <w:t xml:space="preserve">人类智能的一个独特特征是能够无缝地将任务导向的行动与语言推理（或内心独白）结合起来。例如，在厨房做菜时，我们会在行动之间进行语言推理来跟踪进度、处理异常、调整计划，或者决定何时需要查找外部信息。这种"行动"与"推理"之间的紧密协同，使人类能够快速学习新任务并在未知情况下做出稳健的决策。</w:t>
      </w:r>
    </w:p>
    <w:p>
      <w:pPr>
        <w:spacing w:after="300"/>
      </w:pPr>
      <w:r>
        <w:t xml:space="preserve">ReAct论文的核心问题就是：</w:t>
      </w:r>
    </w:p>
    <w:p>
      <w:pPr>
        <w:shd w:fill="eaf2f8" w:val="clear"/>
        <w:spacing w:after="300" w:before="100"/>
        <w:jc w:val="center"/>
      </w:pPr>
      <w:r>
        <w:rPr>
          <w:b/>
          <w:bCs/>
          <w:color w:val="1a5276"/>
          <w:sz w:val="26"/>
          <w:szCs w:val="26"/>
        </w:rPr>
        <w:t xml:space="preserve">能否让大语言模型同时生成推理轨迹和任务特定的行动，实现推理与行动的协同？</w:t>
      </w:r>
    </w:p>
    <w:p>
      <w:pPr>
        <w:pStyle w:val="Heading1"/>
      </w:pPr>
      <w:r>
        <w:t xml:space="preserve">二、ReAct方法详解</w:t>
      </w:r>
    </w:p>
    <w:p>
      <w:pPr>
        <w:pStyle w:val="Heading2"/>
      </w:pPr>
      <w:r>
        <w:t xml:space="preserve">2.1 核心思想</w:t>
      </w:r>
    </w:p>
    <w:p>
      <w:pPr>
        <w:spacing w:after="200"/>
      </w:pPr>
      <w:r>
        <w:t xml:space="preserve">ReAct的核心思想非常简单：让语言模型以交错的方式生成语言推理轨迹（Thought）和任务特定的行动（Action）。</w:t>
      </w:r>
    </w:p>
    <w:p>
      <w:pPr>
        <w:spacing w:after="200"/>
      </w:pPr>
      <w:r>
        <w:t xml:space="preserve">具体来说，模型在每个时间步可以生成两种类型的输出：</w:t>
      </w:r>
    </w:p>
    <w:p>
      <w:pPr>
        <w:spacing w:after="200" w:before="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300"/>
        <w:jc w:val="center"/>
      </w:pPr>
      <w:r>
        <w:rPr>
          <w:i/>
          <w:iCs/>
          <w:color w:val="666666"/>
          <w:sz w:val="20"/>
          <w:szCs w:val="20"/>
        </w:rPr>
        <w:t xml:space="preserve">图2: ReAct工作流程循环</w:t>
      </w:r>
    </w:p>
    <w:p>
      <w:pPr>
        <w:pStyle w:val="ListParagraph"/>
        <w:numPr>
          <w:ilvl w:val="0"/>
          <w:numId w:val="2"/>
        </w:numPr>
      </w:pPr>
      <w:r>
        <w:rPr>
          <w:b/>
          <w:bCs/>
        </w:rPr>
        <w:t xml:space="preserve">思考（Thought）</w:t>
      </w:r>
      <w:r>
        <w:t xml:space="preserve">：模型进行推理，分解目标、制定计划、提取信息、跟踪进度或处理异常</w:t>
      </w:r>
    </w:p>
    <w:p>
      <w:pPr>
        <w:pStyle w:val="ListParagraph"/>
        <w:numPr>
          <w:ilvl w:val="0"/>
          <w:numId w:val="2"/>
        </w:numPr>
      </w:pPr>
      <w:r>
        <w:rPr>
          <w:b/>
          <w:bCs/>
        </w:rPr>
        <w:t xml:space="preserve">行动（Action）</w:t>
      </w:r>
      <w:r>
        <w:t xml:space="preserve">：模型执行具体操作，如搜索维基百科、查找信息或与环境交互</w:t>
      </w:r>
    </w:p>
    <w:p>
      <w:pPr>
        <w:pStyle w:val="ListParagraph"/>
        <w:numPr>
          <w:ilvl w:val="0"/>
          <w:numId w:val="2"/>
        </w:numPr>
        <w:spacing w:after="200"/>
      </w:pPr>
      <w:r>
        <w:rPr>
          <w:b/>
          <w:bCs/>
        </w:rPr>
        <w:t xml:space="preserve">观察（Observation）</w:t>
      </w:r>
      <w:r>
        <w:t xml:space="preserve">：环境返回行动的结果，模型将其纳入后续推理</w:t>
      </w:r>
    </w:p>
    <w:p>
      <w:pPr>
        <w:pStyle w:val="Heading2"/>
      </w:pPr>
      <w:r>
        <w:t xml:space="preserve">2.2 四种方法对比</w:t>
      </w:r>
    </w:p>
    <w:p>
      <w:pPr>
        <w:spacing w:after="200"/>
      </w:pPr>
      <w:r>
        <w:t xml:space="preserve">论文对比了四种不同的提示方法，以展示ReAct的优势：</w:t>
      </w:r>
    </w:p>
    <w:p>
      <w:pPr>
        <w:spacing w:after="2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52750"/>
                    </a:xfrm>
                    <a:prstGeom prst="rect">
                      <a:avLst/>
                    </a:prstGeom>
                  </pic:spPr>
                </pic:pic>
              </a:graphicData>
            </a:graphic>
          </wp:inline>
        </w:drawing>
      </w:r>
    </w:p>
    <w:p>
      <w:pPr>
        <w:spacing w:after="300"/>
        <w:jc w:val="center"/>
      </w:pPr>
      <w:r>
        <w:rPr>
          <w:i/>
          <w:iCs/>
          <w:color w:val="666666"/>
          <w:sz w:val="20"/>
          <w:szCs w:val="20"/>
        </w:rPr>
        <w:t xml:space="preserve">图3: 四种提示方法对比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cantSplit/>
        </w:trP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方法</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特点</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局限性</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Standard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直接输入问题，输出答案</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缺乏推理过程，复杂问题易出错</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生成思维链进行逐步推理</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静态黑盒，无法获取外部信息，易产生幻觉</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Act-only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只生成行动，与环境交互</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缺乏推理指导，行动缺乏系统性</w:t>
            </w:r>
          </w:p>
        </w:tc>
      </w:tr>
      <w:tr>
        <w:trPr>
          <w:cantSplit/>
        </w:trP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b/>
                <w:bCs/>
                <w:color w:val="1a5276"/>
              </w:rPr>
              <w:t xml:space="preserve">ReAct</w:t>
            </w:r>
          </w:p>
        </w:tc>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color w:val="1a5276"/>
              </w:rPr>
              <w:t xml:space="preserve">推理与行动交错进行，相互促进</w:t>
            </w:r>
          </w:p>
        </w:tc>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color w:val="1a5276"/>
              </w:rPr>
              <w:t xml:space="preserve">需要预定义行动空间，提示设计较复杂</w:t>
            </w:r>
          </w:p>
        </w:tc>
      </w:tr>
    </w:tbl>
    <w:p>
      <w:pPr>
        <w:spacing w:after="300"/>
        <w:jc w:val="center"/>
      </w:pPr>
      <w:r>
        <w:rPr>
          <w:i/>
          <w:iCs/>
          <w:color w:val="666666"/>
          <w:sz w:val="20"/>
          <w:szCs w:val="20"/>
        </w:rPr>
        <w:t xml:space="preserve">表1: 四种提示方法对比</w:t>
      </w:r>
    </w:p>
    <w:p>
      <w:pPr>
        <w:pStyle w:val="Heading1"/>
      </w:pPr>
      <w:r>
        <w:t xml:space="preserve">三、实验与评估</w:t>
      </w:r>
    </w:p>
    <w:p>
      <w:pPr>
        <w:pStyle w:val="Heading2"/>
      </w:pPr>
      <w:r>
        <w:t xml:space="preserve">3.1 评估任务</w:t>
      </w:r>
    </w:p>
    <w:p>
      <w:pPr>
        <w:spacing w:after="200"/>
      </w:pPr>
      <w:r>
        <w:t xml:space="preserve">论文在四个不同的基准任务上评估了ReAct：</w:t>
      </w:r>
    </w:p>
    <w:p>
      <w:pPr>
        <w:pStyle w:val="ListParagraph"/>
        <w:numPr>
          <w:ilvl w:val="0"/>
          <w:numId w:val="2"/>
        </w:numPr>
      </w:pPr>
      <w:r>
        <w:rPr>
          <w:b/>
          <w:bCs/>
        </w:rPr>
        <w:t xml:space="preserve">HotpotQA</w:t>
      </w:r>
      <w:r>
        <w:t xml:space="preserve">：多跳问答任务，需要推理两个或更多维基百科段落才能回答</w:t>
      </w:r>
    </w:p>
    <w:p>
      <w:pPr>
        <w:pStyle w:val="ListParagraph"/>
        <w:numPr>
          <w:ilvl w:val="0"/>
          <w:numId w:val="2"/>
        </w:numPr>
      </w:pPr>
      <w:r>
        <w:rPr>
          <w:b/>
          <w:bCs/>
        </w:rPr>
        <w:t xml:space="preserve">FEVER</w:t>
      </w:r>
      <w:r>
        <w:t xml:space="preserve">：事实验证任务，判断声明是否被维基百科支持、反驳或信息不足</w:t>
      </w:r>
    </w:p>
    <w:p>
      <w:pPr>
        <w:pStyle w:val="ListParagraph"/>
        <w:numPr>
          <w:ilvl w:val="0"/>
          <w:numId w:val="2"/>
        </w:numPr>
      </w:pPr>
      <w:r>
        <w:rPr>
          <w:b/>
          <w:bCs/>
        </w:rPr>
        <w:t xml:space="preserve">ALFWorld</w:t>
      </w:r>
      <w:r>
        <w:t xml:space="preserve">：基于文本的室内导航和物品操作游戏</w:t>
      </w:r>
    </w:p>
    <w:p>
      <w:pPr>
        <w:pStyle w:val="ListParagraph"/>
        <w:numPr>
          <w:ilvl w:val="0"/>
          <w:numId w:val="2"/>
        </w:numPr>
        <w:spacing w:after="200"/>
      </w:pPr>
      <w:r>
        <w:rPr>
          <w:b/>
          <w:bCs/>
        </w:rPr>
        <w:t xml:space="preserve">WebShop</w:t>
      </w:r>
      <w:r>
        <w:t xml:space="preserve">：网页导航和在线购物任务</w:t>
      </w:r>
    </w:p>
    <w:p>
      <w:pPr>
        <w:pStyle w:val="Heading2"/>
      </w:pPr>
      <w:r>
        <w:t xml:space="preserve">3.2 实验结果</w:t>
      </w:r>
    </w:p>
    <w:p>
      <w:pPr>
        <w:spacing w:after="200"/>
      </w:pPr>
      <w:r>
        <w:t xml:space="preserve">ReAct在所有任务上都展现了出色的性能：</w:t>
      </w:r>
    </w:p>
    <w:p>
      <w:pPr>
        <w:spacing w:after="200" w:before="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300"/>
        <w:jc w:val="center"/>
      </w:pPr>
      <w:r>
        <w:rPr>
          <w:i/>
          <w:iCs/>
          <w:color w:val="666666"/>
          <w:sz w:val="20"/>
          <w:szCs w:val="20"/>
        </w:rPr>
        <w:t xml:space="preserve">图4: 不同提示方法的性能对比（示意）</w:t>
      </w:r>
    </w:p>
    <w:p>
      <w:pPr>
        <w:spacing w:after="200"/>
      </w:pPr>
      <w:r>
        <w:rPr>
          <w:b/>
          <w:bCs/>
        </w:rPr>
        <w:t xml:space="preserve">关键发现：</w:t>
      </w:r>
    </w:p>
    <w:p>
      <w:pPr>
        <w:pStyle w:val="ListParagraph"/>
        <w:numPr>
          <w:ilvl w:val="0"/>
          <w:numId w:val="2"/>
        </w:numPr>
      </w:pPr>
      <w:r>
        <w:t xml:space="preserve">在HotpotQA和FEVER上，ReAct通过与维基百科API交互，克服了思维链推理中普遍存在的幻觉和错误传播问题</w:t>
      </w:r>
    </w:p>
    <w:p>
      <w:pPr>
        <w:pStyle w:val="ListParagraph"/>
        <w:numPr>
          <w:ilvl w:val="0"/>
          <w:numId w:val="2"/>
        </w:numPr>
      </w:pPr>
      <w:r>
        <w:t xml:space="preserve">在ALFWorld上，仅使用1-2个示例的ReAct提示就超过了使用10^3~10^5个任务实例训练的模仿学习和强化学习方法，成功率提升34%</w:t>
      </w:r>
    </w:p>
    <w:p>
      <w:pPr>
        <w:pStyle w:val="ListParagraph"/>
        <w:numPr>
          <w:ilvl w:val="0"/>
          <w:numId w:val="2"/>
        </w:numPr>
        <w:spacing w:after="200"/>
      </w:pPr>
      <w:r>
        <w:t xml:space="preserve">在WebShop上，ReAct的成功率比强化学习方法高出10%</w:t>
      </w:r>
    </w:p>
    <w:p>
      <w:pPr>
        <w:pStyle w:val="Heading1"/>
      </w:pPr>
      <w:r>
        <w:t xml:space="preserve">四、ReAct的优势</w:t>
      </w:r>
    </w:p>
    <w:p>
      <w:pPr>
        <w:pStyle w:val="Heading2"/>
      </w:pPr>
      <w:r>
        <w:t xml:space="preserve">4.1 直观易设计</w:t>
      </w:r>
    </w:p>
    <w:p>
      <w:pPr>
        <w:spacing w:after="200"/>
      </w:pPr>
      <w:r>
        <w:t xml:space="preserve">设计ReAct提示非常直观，人类标注者只需在行动之上用语言表达他们的思考过程。不需要特殊的格式选择、思考设计或示例选择。</w:t>
      </w:r>
    </w:p>
    <w:p>
      <w:pPr>
        <w:pStyle w:val="Heading2"/>
      </w:pPr>
      <w:r>
        <w:t xml:space="preserve">4.2 通用且灵活</w:t>
      </w:r>
    </w:p>
    <w:p>
      <w:pPr>
        <w:spacing w:after="200"/>
      </w:pPr>
      <w:r>
        <w:t xml:space="preserve">由于灵活的思维空间和思维-行动出现格式，ReAct适用于各种具有不同行动空间和推理需求的任务，包括但不限于问答、事实验证、文本游戏和网页导航。</w:t>
      </w:r>
    </w:p>
    <w:p>
      <w:pPr>
        <w:pStyle w:val="Heading2"/>
      </w:pPr>
      <w:r>
        <w:t xml:space="preserve">4.3 高性能且鲁棒</w:t>
      </w:r>
    </w:p>
    <w:p>
      <w:pPr>
        <w:spacing w:after="200"/>
      </w:pPr>
      <w:r>
        <w:t xml:space="preserve">ReAct仅通过1-6个上下文示例就展现出对新任务实例的强大泛化能力，在不同领域始终优于仅推理或仅行动的基线方法。</w:t>
      </w:r>
    </w:p>
    <w:p>
      <w:pPr>
        <w:pStyle w:val="Heading2"/>
      </w:pPr>
      <w:r>
        <w:t xml:space="preserve">4.4 人类可理解且可控</w:t>
      </w:r>
    </w:p>
    <w:p>
      <w:pPr>
        <w:spacing w:after="200"/>
      </w:pPr>
      <w:r>
        <w:t xml:space="preserve">ReAct提供了一个可解释的序列决策和推理过程，人类可以轻松区分来自模型内部知识和外部环境的信息。此外，人类还可以通过编辑思考过程来实时控制或纠正智能体行为。</w:t>
      </w:r>
    </w:p>
    <w:p>
      <w:pPr>
        <w:pStyle w:val="Heading1"/>
      </w:pPr>
      <w:r>
        <w:t xml:space="preserve">五、局限性与未来方向</w:t>
      </w:r>
    </w:p>
    <w:p>
      <w:pPr>
        <w:spacing w:after="200"/>
      </w:pPr>
      <w:r>
        <w:t xml:space="preserve">尽管ReAct展现了令人印象深刻的结果，论文也坦诚地讨论了其局限性：</w:t>
      </w:r>
    </w:p>
    <w:p>
      <w:pPr>
        <w:pStyle w:val="ListParagraph"/>
        <w:numPr>
          <w:ilvl w:val="0"/>
          <w:numId w:val="2"/>
        </w:numPr>
      </w:pPr>
      <w:r>
        <w:rPr>
          <w:b/>
          <w:bCs/>
        </w:rPr>
        <w:t xml:space="preserve">行动空间依赖：</w:t>
      </w:r>
      <w:r>
        <w:t xml:space="preserve">每个可能的行动都需要在输入提示中预先定义，否则模型可能不知道可以采取该行动</w:t>
      </w:r>
    </w:p>
    <w:p>
      <w:pPr>
        <w:pStyle w:val="ListParagraph"/>
        <w:numPr>
          <w:ilvl w:val="0"/>
          <w:numId w:val="2"/>
        </w:numPr>
      </w:pPr>
      <w:r>
        <w:rPr>
          <w:b/>
          <w:bCs/>
        </w:rPr>
        <w:t xml:space="preserve">提示设计限制：</w:t>
      </w:r>
      <w:r>
        <w:t xml:space="preserve">提示的上下文窗口有限，学习支持也有限</w:t>
      </w:r>
    </w:p>
    <w:p>
      <w:pPr>
        <w:pStyle w:val="ListParagraph"/>
        <w:numPr>
          <w:ilvl w:val="0"/>
          <w:numId w:val="2"/>
        </w:numPr>
        <w:spacing w:after="200"/>
      </w:pPr>
      <w:r>
        <w:rPr>
          <w:b/>
          <w:bCs/>
        </w:rPr>
        <w:t xml:space="preserve">模型规模依赖：</w:t>
      </w:r>
      <w:r>
        <w:t xml:space="preserve">ReAct的效果随模型规模增大而显著提升，小型模型可能无法有效利用这种范式</w:t>
      </w:r>
    </w:p>
    <w:p>
      <w:pPr>
        <w:spacing w:after="200"/>
      </w:pPr>
      <w:r>
        <w:t xml:space="preserve">论文也指出了未来的研究方向：</w:t>
      </w:r>
    </w:p>
    <w:p>
      <w:pPr>
        <w:pStyle w:val="ListParagraph"/>
        <w:numPr>
          <w:ilvl w:val="0"/>
          <w:numId w:val="2"/>
        </w:numPr>
      </w:pPr>
      <w:r>
        <w:t xml:space="preserve">将ReAct扩展到更多任务并进行微调训练</w:t>
      </w:r>
    </w:p>
    <w:p>
      <w:pPr>
        <w:pStyle w:val="ListParagraph"/>
        <w:numPr>
          <w:ilvl w:val="0"/>
          <w:numId w:val="2"/>
        </w:numPr>
      </w:pPr>
      <w:r>
        <w:t xml:space="preserve">结合强化学习等互补范式进一步释放潜力</w:t>
      </w:r>
    </w:p>
    <w:p>
      <w:pPr>
        <w:pStyle w:val="ListParagraph"/>
        <w:numPr>
          <w:ilvl w:val="0"/>
          <w:numId w:val="2"/>
        </w:numPr>
        <w:spacing w:after="300"/>
      </w:pPr>
      <w:r>
        <w:t xml:space="preserve">探索ReAct在少样本学习之外的应用场景</w:t>
      </w:r>
    </w:p>
    <w:p>
      <w:pPr>
        <w:pStyle w:val="Heading1"/>
      </w:pPr>
      <w:r>
        <w:t xml:space="preserve">六、总结</w:t>
      </w:r>
    </w:p>
    <w:p>
      <w:pPr>
        <w:spacing w:after="200"/>
      </w:pPr>
      <w:r>
        <w:t xml:space="preserve">ReAct提出了一种新颖的提示范式，通过让大语言模型以交错方式生成推理轨迹和行动，实现了推理与行动的协同。这种方法不仅显著提升了模型在知识密集型推理任务和交互式决策任务上的性能，还增强了模型的可解释性和可信度。</w:t>
      </w:r>
    </w:p>
    <w:p>
      <w:pPr>
        <w:spacing w:after="200"/>
      </w:pPr>
      <w:r>
        <w:t xml:space="preserve">ReAct的成功表明，将人类的认知方式——即思考与行动的紧密结合——引入到语言模型中，可以产生强大的协同效应。这一工作为构建更智能、更可靠、更可控的AI系统开辟了新的道路。</w:t>
      </w:r>
    </w:p>
    <w:p>
      <w:pPr>
        <w:shd w:fill="eaf2f8" w:val="clear"/>
        <w:spacing w:after="200" w:before="400"/>
        <w:jc w:val="center"/>
      </w:pPr>
      <w:r>
        <w:rPr>
          <w:b/>
          <w:bCs/>
          <w:color w:val="1a5276"/>
          <w:sz w:val="28"/>
          <w:szCs w:val="28"/>
        </w:rPr>
        <w:t xml:space="preserve">ReAct = Reasoning + Acting = 更智能的AI</w:t>
      </w:r>
    </w:p>
    <w:p>
      <w:pPr>
        <w:spacing w:before="400"/>
      </w:pPr>
      <w:r>
        <w:rPr>
          <w:b/>
          <w:bCs/>
          <w:color w:val="666666"/>
          <w:sz w:val="22"/>
          <w:szCs w:val="22"/>
        </w:rPr>
        <w:t xml:space="preserve">论文信息</w:t>
      </w:r>
    </w:p>
    <w:p>
      <w:r>
        <w:rPr>
          <w:b/>
          <w:bCs/>
          <w:sz w:val="20"/>
          <w:szCs w:val="20"/>
        </w:rPr>
        <w:t xml:space="preserve">标题: </w:t>
      </w:r>
      <w:r>
        <w:rPr>
          <w:sz w:val="20"/>
          <w:szCs w:val="20"/>
        </w:rPr>
        <w:t xml:space="preserve">ReAct: Synergizing Reasoning and Acting in Language Models</w:t>
      </w:r>
    </w:p>
    <w:p>
      <w:r>
        <w:rPr>
          <w:b/>
          <w:bCs/>
          <w:sz w:val="20"/>
          <w:szCs w:val="20"/>
        </w:rPr>
        <w:t xml:space="preserve">作者: </w:t>
      </w:r>
      <w:r>
        <w:rPr>
          <w:sz w:val="20"/>
          <w:szCs w:val="20"/>
        </w:rPr>
        <w:t xml:space="preserve">Shunyu Yao, Jeffrey Zhao, Dian Yu, Nan Du, Izhak Shafran, Karthik Narasimhan, Yuan Cao</w:t>
      </w:r>
    </w:p>
    <w:p>
      <w:r>
        <w:rPr>
          <w:b/>
          <w:bCs/>
          <w:sz w:val="20"/>
          <w:szCs w:val="20"/>
        </w:rPr>
        <w:t xml:space="preserve">机构: </w:t>
      </w:r>
      <w:r>
        <w:rPr>
          <w:sz w:val="20"/>
          <w:szCs w:val="20"/>
        </w:rPr>
        <w:t xml:space="preserve">Princeton University, Google Research</w:t>
      </w:r>
    </w:p>
    <w:p>
      <w:r>
        <w:rPr>
          <w:b/>
          <w:bCs/>
          <w:sz w:val="20"/>
          <w:szCs w:val="20"/>
        </w:rPr>
        <w:t xml:space="preserve">会议: </w:t>
      </w:r>
      <w:r>
        <w:rPr>
          <w:sz w:val="20"/>
          <w:szCs w:val="20"/>
        </w:rPr>
        <w:t xml:space="preserve">ICLR 2023</w:t>
      </w:r>
    </w:p>
    <w:p>
      <w:r>
        <w:rPr>
          <w:b/>
          <w:bCs/>
          <w:sz w:val="20"/>
          <w:szCs w:val="20"/>
        </w:rPr>
        <w:t xml:space="preserve">链接: </w:t>
      </w:r>
      <w:r>
        <w:rPr>
          <w:color w:val="2874a6"/>
          <w:sz w:val="20"/>
          <w:szCs w:val="20"/>
        </w:rPr>
        <w:t xml:space="preserve">https://openreview.net/forum?id=WE_vluYUL-X</w:t>
      </w:r>
    </w:p>
    <w:sectPr>
      <w:headerReference w:type="default" r:id="rId14"/>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t xml:space="preserve">PAGE</w:t>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ReAct论文综述</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400"/>
      <w:outlineLvl w:val="0"/>
    </w:pPr>
    <w:rPr>
      <w:rFonts w:ascii="Arial" w:eastAsia="Microsoft YaHei" w:hAnsi="Arial"/>
      <w:b/>
      <w:bCs/>
      <w:color w:val="1a5276"/>
      <w:sz w:val="36"/>
      <w:szCs w:val="36"/>
    </w:rPr>
  </w:style>
  <w:style w:type="paragraph" w:styleId="Heading2">
    <w:name w:val="Heading 2"/>
    <w:basedOn w:val="Normal"/>
    <w:next w:val="Normal"/>
    <w:qFormat/>
    <w:pPr>
      <w:keepNext w:val="false"/>
      <w:keepLines w:val="false"/>
      <w:spacing w:after="150" w:before="300"/>
      <w:outlineLvl w:val="1"/>
    </w:pPr>
    <w:rPr>
      <w:rFonts w:ascii="Arial" w:eastAsia="Microsoft YaHei" w:hAnsi="Arial"/>
      <w:b/>
      <w:bCs/>
      <w:color w:val="2874a6"/>
      <w:sz w:val="30"/>
      <w:szCs w:val="30"/>
    </w:rPr>
  </w:style>
  <w:style w:type="paragraph" w:styleId="Heading3">
    <w:name w:val="Heading 3"/>
    <w:basedOn w:val="Normal"/>
    <w:next w:val="Normal"/>
    <w:qFormat/>
    <w:pPr>
      <w:keepNext w:val="false"/>
      <w:keepLines w:val="false"/>
      <w:spacing w:after="100" w:before="200"/>
      <w:outlineLvl w:val="2"/>
    </w:pPr>
    <w:rPr>
      <w:rFonts w:ascii="Arial" w:eastAsia="Microsoft YaHei"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f34e384d752ddfcf49e652ee72057e944a0b3e.jpg"/><Relationship Id="rId10" Type="http://schemas.openxmlformats.org/officeDocument/2006/relationships/image" Target="media/e02e361167719d7de98d674d647cb503ff228706.jpg"/><Relationship Id="rId11" Type="http://schemas.openxmlformats.org/officeDocument/2006/relationships/image" Target="media/5b8cd544e5f34f4e23ed2c9d5b1a7f37a1ca19e4.jpg"/><Relationship Id="rId12" Type="http://schemas.openxmlformats.org/officeDocument/2006/relationships/image" Target="media/a464e8b502b8e09d26136248545ac99538109ed6.jpg"/><Relationship Id="rId13" Type="http://schemas.openxmlformats.org/officeDocument/2006/relationships/fontTable" Target="fontTable.xml"/><Relationship Id="rId14"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2026-06-20T11:12:33.752Z</dcterms:created>
  <dcterms:modified xsi:type="dcterms:W3CDTF">2026-06-20T11:12:33.753Z</dcterms:modified>
</cp:coreProperties>
</file>

<file path=docProps/custom.xml><?xml version="1.0" encoding="utf-8"?>
<Properties xmlns="http://schemas.openxmlformats.org/officeDocument/2006/custom-properties" xmlns:vt="http://schemas.openxmlformats.org/officeDocument/2006/docPropsVTypes"/>
</file>