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1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7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p>
      <w:pPr>
        <w:numPr>
          <w:ilvl w:val="0"/>
          <w:numId w:val="1001"/>
        </w:numPr>
      </w:pPr>
      <w:r>
        <w:t xml:space="preserve">Выполнен вход в рабочий каталог проекта и запущена виртуальная машина</w:t>
      </w:r>
      <w:r>
        <w:t xml:space="preserve"> </w:t>
      </w:r>
      <w:r>
        <w:rPr>
          <w:bCs/>
          <w:b/>
        </w:rPr>
        <w:t xml:space="preserve">server</w:t>
      </w:r>
      <w:r>
        <w:t xml:space="preserve">. После загрузки системы выполнен переход в режим суперпользователя для выполнения административных операций.</w:t>
      </w:r>
    </w:p>
    <w:p>
      <w:pPr>
        <w:numPr>
          <w:ilvl w:val="0"/>
          <w:numId w:val="1001"/>
        </w:numPr>
      </w:pPr>
      <w:r>
        <w:t xml:space="preserve">На основе стандартного файла описания службы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создан пользовательский файл службы</w:t>
      </w:r>
      <w:r>
        <w:t xml:space="preserve"> </w:t>
      </w:r>
      <w:r>
        <w:rPr>
          <w:bCs/>
          <w:b/>
        </w:rPr>
        <w:t xml:space="preserve">ssh-custom.xml</w:t>
      </w:r>
      <w:r>
        <w:t xml:space="preserve">. Файл был скопирован из системного каталога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 </w:t>
      </w:r>
      <w:r>
        <w:t xml:space="preserve">в каталог пользовательских служб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Просмотрено содержимое файла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. Файл представляет собой XML-описание службы firewalld и включает:</w:t>
      </w:r>
    </w:p>
    <w:p>
      <w:pPr>
        <w:numPr>
          <w:ilvl w:val="1"/>
          <w:numId w:val="1002"/>
        </w:numPr>
        <w:pStyle w:val="Compact"/>
      </w:pPr>
      <w:r>
        <w:t xml:space="preserve">декларацию версии XML;</w:t>
      </w:r>
    </w:p>
    <w:p>
      <w:pPr>
        <w:numPr>
          <w:ilvl w:val="1"/>
          <w:numId w:val="1002"/>
        </w:numPr>
        <w:pStyle w:val="Compact"/>
      </w:pPr>
      <w:r>
        <w:t xml:space="preserve">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, содержащий краткое имя службы;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, описывающий назначение службы;</w:t>
      </w:r>
    </w:p>
    <w:p>
      <w:pPr>
        <w:numPr>
          <w:ilvl w:val="1"/>
          <w:numId w:val="1002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, задающий протокол и номер порта, разрешённого для данной службы.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5334000" cy="1151714"/>
            <wp:effectExtent b="0" l="0" r="0" t="0"/>
            <wp:docPr descr="Рис. 1: Просмотр содержимого ssh-custom.xml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содержимого ssh-custom.xml</w:t>
      </w:r>
    </w:p>
    <w:p>
      <w:pPr>
        <w:numPr>
          <w:ilvl w:val="0"/>
          <w:numId w:val="1001"/>
        </w:numPr>
      </w:pPr>
      <w:r>
        <w:t xml:space="preserve">Файл службы был открыт для редактирования. В нём изменён номер порта с</w:t>
      </w:r>
      <w:r>
        <w:t xml:space="preserve"> </w:t>
      </w:r>
      <w:r>
        <w:rPr>
          <w:bCs/>
          <w:b/>
        </w:rPr>
        <w:t xml:space="preserve">22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2022</w:t>
      </w:r>
      <w:r>
        <w:t xml:space="preserve">, а описание службы скорректировано для указания, что используется модифицированная версия службы SSH.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4917781" cy="1636699"/>
            <wp:effectExtent b="0" l="0" r="0" t="0"/>
            <wp:docPr descr="Рис. 2: Редактирование файла ssh-custom.xml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163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файла ssh-custom.xml</w:t>
      </w:r>
    </w:p>
    <w:p>
      <w:pPr>
        <w:numPr>
          <w:ilvl w:val="0"/>
          <w:numId w:val="1001"/>
        </w:numPr>
      </w:pPr>
      <w:r>
        <w:t xml:space="preserve">Получен список доступных служб firewalld. Установлено, что созданная пользовательская служба на данном этапе ещё не активна.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5334000" cy="3697596"/>
            <wp:effectExtent b="0" l="0" r="0" t="0"/>
            <wp:docPr descr="Рис. 3: Список доступных служб firewalld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Список доступных служб firewalld</w:t>
      </w:r>
    </w:p>
    <w:p>
      <w:pPr>
        <w:numPr>
          <w:ilvl w:val="0"/>
          <w:numId w:val="1001"/>
        </w:numPr>
      </w:pPr>
      <w:r>
        <w:t xml:space="preserve">Выполнена перезагрузка правил межсетевого экрана с сохранением текущего состояния. После перезагрузки повторно выведен список служб, в котором появилась служба</w:t>
      </w:r>
      <w:r>
        <w:t xml:space="preserve"> </w:t>
      </w:r>
      <w:r>
        <w:rPr>
          <w:bCs/>
          <w:b/>
        </w:rPr>
        <w:t xml:space="preserve">ssh-custom</w:t>
      </w:r>
      <w:r>
        <w:t xml:space="preserve">, однако она не была активирована.</w:t>
      </w:r>
    </w:p>
    <w:p>
      <w:pPr>
        <w:numPr>
          <w:ilvl w:val="0"/>
          <w:numId w:val="1000"/>
        </w:numPr>
        <w:pStyle w:val="CaptionedFigure"/>
      </w:pPr>
      <w:bookmarkStart w:id="36" w:name="fig:005"/>
      <w:r>
        <w:drawing>
          <wp:inline>
            <wp:extent cx="5334000" cy="1685840"/>
            <wp:effectExtent b="0" l="0" r="0" t="0"/>
            <wp:docPr descr="Рис. 4: Перезагрузка firewalld и проверка служб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Перезагрузка firewalld и проверка служб</w:t>
      </w:r>
    </w:p>
    <w:p>
      <w:pPr>
        <w:numPr>
          <w:ilvl w:val="0"/>
          <w:numId w:val="1001"/>
        </w:numPr>
      </w:pPr>
      <w:r>
        <w:t xml:space="preserve">Пользовательская служба</w:t>
      </w:r>
      <w:r>
        <w:t xml:space="preserve"> </w:t>
      </w:r>
      <w:r>
        <w:rPr>
          <w:bCs/>
          <w:b/>
        </w:rPr>
        <w:t xml:space="preserve">ssh-custom</w:t>
      </w:r>
      <w:r>
        <w:t xml:space="preserve"> </w:t>
      </w:r>
      <w:r>
        <w:t xml:space="preserve">добавлена в активные службы текущей зоны. После этого выполнено постоянное добавление службы с сохранением конфигурации и повторная перезагрузка firewalld.</w:t>
      </w:r>
    </w:p>
    <w:bookmarkEnd w:id="37"/>
    <w:bookmarkStart w:id="46" w:name="перенаправление-пор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Перенаправление портов</w:t>
      </w:r>
    </w:p>
    <w:p>
      <w:pPr>
        <w:numPr>
          <w:ilvl w:val="0"/>
          <w:numId w:val="1003"/>
        </w:numPr>
      </w:pPr>
      <w:r>
        <w:t xml:space="preserve">На сервере настроено перенаправление входящих TCP-соединений с порта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на стандартный порт службы SSH</w:t>
      </w:r>
      <w:r>
        <w:t xml:space="preserve"> </w:t>
      </w:r>
      <w:r>
        <w:rPr>
          <w:bCs/>
          <w:b/>
        </w:rPr>
        <w:t xml:space="preserve">22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7"/>
      <w:r>
        <w:drawing>
          <wp:inline>
            <wp:extent cx="5334000" cy="537726"/>
            <wp:effectExtent b="0" l="0" r="0" t="0"/>
            <wp:docPr descr="Рис. 5: Настройка перенаправления портов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Настройка перенаправления портов</w:t>
      </w:r>
    </w:p>
    <w:p>
      <w:pPr>
        <w:numPr>
          <w:ilvl w:val="0"/>
          <w:numId w:val="1003"/>
        </w:numPr>
      </w:pPr>
      <w:r>
        <w:t xml:space="preserve">На клиентской виртуальной машине выполнена попытка подключения к серверу по SSH через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. Подключение прошло успешно, что подтверждает корректность настройки перенаправления портов.</w:t>
      </w:r>
    </w:p>
    <w:p>
      <w:pPr>
        <w:numPr>
          <w:ilvl w:val="0"/>
          <w:numId w:val="1000"/>
        </w:numPr>
        <w:pStyle w:val="CaptionedFigure"/>
      </w:pPr>
      <w:bookmarkStart w:id="45" w:name="fig:008"/>
      <w:r>
        <w:drawing>
          <wp:inline>
            <wp:extent cx="5086830" cy="2889196"/>
            <wp:effectExtent b="0" l="0" r="0" t="0"/>
            <wp:docPr descr="Рис. 6: Подключение к серверу по SSH через порт 2022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Подключение к серверу по SSH через порт 2022</w:t>
      </w:r>
    </w:p>
    <w:bookmarkEnd w:id="46"/>
    <w:bookmarkStart w:id="55" w:name="настройка-port-forwarding-и-masquerad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Port Forwarding и Masquerading</w:t>
      </w:r>
    </w:p>
    <w:p>
      <w:pPr>
        <w:numPr>
          <w:ilvl w:val="0"/>
          <w:numId w:val="1004"/>
        </w:numPr>
      </w:pPr>
      <w:r>
        <w:t xml:space="preserve">Проверено состояние параметров ядра, отвечающих за пересылку IPv4-пакетов. Установлено, что перенаправление пакетов по умолчанию отключено.</w:t>
      </w:r>
    </w:p>
    <w:p>
      <w:pPr>
        <w:numPr>
          <w:ilvl w:val="0"/>
          <w:numId w:val="1004"/>
        </w:numPr>
      </w:pPr>
      <w:r>
        <w:t xml:space="preserve">Включена поддержка перенаправления IPv4-пакетов путём добавления соответствующей настройки в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и применения параметров ядра.</w:t>
      </w:r>
    </w:p>
    <w:p>
      <w:pPr>
        <w:numPr>
          <w:ilvl w:val="0"/>
          <w:numId w:val="1004"/>
        </w:numPr>
      </w:pPr>
      <w:r>
        <w:t xml:space="preserve">Для внешнего сетевого интерфейса включён режим маскарадинга, обеспечивающий трансляцию сетевых адресов. После внесения изменений выполнена перезагрузка правил межсетевого экрана.</w:t>
      </w:r>
    </w:p>
    <w:p>
      <w:pPr>
        <w:numPr>
          <w:ilvl w:val="0"/>
          <w:numId w:val="1000"/>
        </w:numPr>
        <w:pStyle w:val="CaptionedFigure"/>
      </w:pPr>
      <w:bookmarkStart w:id="50" w:name="fig:009"/>
      <w:r>
        <w:drawing>
          <wp:inline>
            <wp:extent cx="5334000" cy="4231017"/>
            <wp:effectExtent b="0" l="0" r="0" t="0"/>
            <wp:docPr descr="Рис. 7: Включение IP forwarding и masquerading" title="" id="48" name="Picture"/>
            <a:graphic>
              <a:graphicData uri="http://schemas.openxmlformats.org/drawingml/2006/picture">
                <pic:pic>
                  <pic:nvPicPr>
                    <pic:cNvPr descr="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Включение IP forwarding и masquerading</w:t>
      </w:r>
    </w:p>
    <w:p>
      <w:pPr>
        <w:numPr>
          <w:ilvl w:val="0"/>
          <w:numId w:val="1004"/>
        </w:numPr>
      </w:pPr>
      <w:r>
        <w:t xml:space="preserve">На клиентской виртуальной машине проверена доступность выхода в сеть Интернет. Доступ подтверждён, что свидетельствует о корректной работе настроек Port Forwarding и Masquerading.</w:t>
      </w:r>
    </w:p>
    <w:p>
      <w:pPr>
        <w:numPr>
          <w:ilvl w:val="0"/>
          <w:numId w:val="1000"/>
        </w:numPr>
        <w:pStyle w:val="CaptionedFigure"/>
      </w:pPr>
      <w:bookmarkStart w:id="54" w:name="fig:011"/>
      <w:r>
        <w:drawing>
          <wp:inline>
            <wp:extent cx="5334000" cy="3722914"/>
            <wp:effectExtent b="0" l="0" r="0" t="0"/>
            <wp:docPr descr="Рис. 8: Выход в сеть Интернет" title="" id="52" name="Picture"/>
            <a:graphic>
              <a:graphicData uri="http://schemas.openxmlformats.org/drawingml/2006/picture">
                <pic:pic>
                  <pic:nvPicPr>
                    <pic:cNvPr descr="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Выход в сеть Интернет</w:t>
      </w:r>
    </w:p>
    <w:bookmarkEnd w:id="55"/>
    <w:bookmarkStart w:id="60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каталогов для хранения конфигурационных файлов FirewallD и параметров ядра.</w:t>
      </w:r>
    </w:p>
    <w:p>
      <w:pPr>
        <w:numPr>
          <w:ilvl w:val="0"/>
          <w:numId w:val="1005"/>
        </w:numPr>
      </w:pPr>
      <w:r>
        <w:t xml:space="preserve">В соответствующие подкаталоги помещены конфигурационные файлы пользовательской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 файл настроек ядра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предназначенный для автоматизации настройки межсетевого экрана, применения перенаправления портов и маскарадинга при развёртывании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59" w:name="fig:010"/>
      <w:r>
        <w:drawing>
          <wp:inline>
            <wp:extent cx="5334000" cy="1937588"/>
            <wp:effectExtent b="0" l="0" r="0" t="0"/>
            <wp:docPr descr="Рис. 9: firewall.sh" title="" id="57" name="Picture"/>
            <a:graphic>
              <a:graphicData uri="http://schemas.openxmlformats.org/drawingml/2006/picture">
                <pic:pic>
                  <pic:nvPicPr>
                    <pic:cNvPr descr="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firewall.sh</w:t>
      </w:r>
    </w:p>
    <w:bookmarkEnd w:id="60"/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создана и настроена пользовательская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на основе стандартной службы SSH. Выполнена модификация конфигурации с изменением порта, произведена активация службы и проверка её работы. Реализовано перенаправление портов, включены механизмы</w:t>
      </w:r>
      <w:r>
        <w:t xml:space="preserve"> </w:t>
      </w:r>
      <w:r>
        <w:rPr>
          <w:bCs/>
          <w:b/>
        </w:rPr>
        <w:t xml:space="preserve">Port Forwarding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Masquerading</w:t>
      </w:r>
      <w:r>
        <w:t xml:space="preserve">, что обеспечило корректную маршрутизацию и доступ клиентов к внешней сети. Дополнительно подготовлены файлы и скрипт автоматизации для применения настроек в среде Vagrant.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Где хранятся пользовательские файлы firewalld?</w:t>
      </w:r>
      <w:r>
        <w:br/>
      </w:r>
      <w:r>
        <w:t xml:space="preserve">Пользовательские файлы firewalld хранятся 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, в частности описания служб размещаются в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t xml:space="preserve">Для указания порта необходимо добавить строку</w:t>
      </w:r>
      <w:r>
        <w:br/>
      </w:r>
      <w:r>
        <w:rPr>
          <w:rStyle w:val="VerbatimChar"/>
        </w:rPr>
        <w:t xml:space="preserve">&lt;port protocol="tcp" port="2022"/&gt;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перечислить все службы, доступные в настоящее время на вашем сервере?</w:t>
      </w:r>
      <w:r>
        <w:br/>
      </w:r>
      <w:r>
        <w:t xml:space="preserve">Для вывода списка всех доступных служб используется 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чем разница между трансляцией сетевых адресов (NAT) и маскарадингом (masquerading)?</w:t>
      </w:r>
      <w:r>
        <w:br/>
      </w:r>
      <w:r>
        <w:t xml:space="preserve">NAT предполагает статическое сопоставление внутренних и внешних IP-адресов, тогда как маскарадинг является динамической формой NAT и автоматически подставляет внешний IP-адрес интерфейса, что удобно при использовании изменяемых адресов.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этого используется команда перенаправления портов с указанием целевого адреса и порта службы SSH.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для включения маскарадинга IP-пакетов для всех пакетов, выходящих в зону public?</w:t>
      </w:r>
      <w:r>
        <w:br/>
      </w:r>
      <w:r>
        <w:t xml:space="preserve">Маскарадинг для зоны public включается с помощью команды</w:t>
      </w:r>
      <w:r>
        <w:t xml:space="preserve"> </w:t>
      </w:r>
      <w:r>
        <w:rPr>
          <w:rStyle w:val="VerbatimChar"/>
        </w:rPr>
        <w:t xml:space="preserve">firewall-cmd --zone=public --add-masquerade --permanent</w:t>
      </w:r>
      <w:r>
        <w:t xml:space="preserve">.</w:t>
      </w:r>
    </w:p>
    <w:bookmarkEnd w:id="63"/>
    <w:bookmarkStart w:id="64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7"/>
        </w:numPr>
        <w:pStyle w:val="Compact"/>
      </w:pPr>
      <w:r>
        <w:t xml:space="preserve">NAT: вопросы и ответы. — URL: https://www.cisco.com/cisco/web/support/RU/9/92/92029_nat-faq.html (дата обр. 13.09.2021).</w:t>
      </w:r>
    </w:p>
    <w:p>
      <w:pPr>
        <w:numPr>
          <w:ilvl w:val="0"/>
          <w:numId w:val="1007"/>
        </w:numPr>
        <w:pStyle w:val="Compact"/>
      </w:pPr>
      <w:r>
        <w:t xml:space="preserve">Динамический брандмауэр с использованием FirewallD. — URL: https://fedoraproject.org/wiki/FirewallD/ru (дата обр. 13.09.2021).</w:t>
      </w:r>
    </w:p>
    <w:p>
      <w:pPr>
        <w:numPr>
          <w:ilvl w:val="0"/>
          <w:numId w:val="1007"/>
        </w:numPr>
        <w:pStyle w:val="Compact"/>
      </w:pPr>
      <w:r>
        <w:t xml:space="preserve">Одом У. Официальное руководство Cisco по подготовке к сертификационным экзаменам CCENT/CCNA ICND1 100-101. — М.: Вильямс, 2017. — 912 с. — (Cisco Press Core Series).</w:t>
      </w:r>
    </w:p>
    <w:p>
      <w:pPr>
        <w:numPr>
          <w:ilvl w:val="0"/>
          <w:numId w:val="1007"/>
        </w:numPr>
        <w:pStyle w:val="Compact"/>
      </w:pPr>
      <w:r>
        <w:t xml:space="preserve">Часто задаваемые вопросы по технологии NAT / Сайт поддержки продуктов и технологий компании Cisco. — URL: https://www.cisco.com/c/ru_ru/support/docs/ip/network-address-translation-nat/26704-nat-faq-00.html (дата обр. 13.09.2021).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Заур Мустафаев</dc:creator>
  <dc:language>ru-RU</dc:language>
  <cp:keywords/>
  <dcterms:created xsi:type="dcterms:W3CDTF">2025-12-16T10:30:08Z</dcterms:created>
  <dcterms:modified xsi:type="dcterms:W3CDTF">2025-12-16T10:30:08Z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