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上海美食优惠券机会雷达 产品需求文档</w:t>
      </w:r>
    </w:p>
    <w:p>
      <w:pPr>
        <w:pStyle w:val="Subtitle"/>
      </w:pPr>
      <w:r>
        <w:t>版本 V3.0  ·  2026 年 9 月 20 日  ·  上海</w:t>
      </w:r>
    </w:p>
    <w:p>
      <w:pPr>
        <w:pStyle w:val="Heading1"/>
      </w:pPr>
      <w:r>
        <w:t>1 产品方向与业务闭环</w:t>
      </w:r>
    </w:p>
    <w:p>
      <w:pPr>
        <w:pStyle w:val="Heading2"/>
      </w:pPr>
      <w:r>
        <w:t>定位与替代范围</w:t>
      </w:r>
    </w:p>
    <w:p>
      <w:r>
        <w:t>V3 以“优惠券变化驱动的美食选题雷达”为产品主线，为上海美食创作者筛选值得及时跟进的品牌团购券。每日北京时间 00:00 和 12:00 扫描品牌池，比较历史优惠，再结合达人内容饱和度、品牌近期热度以及天气节假日生成可解释的选题优先分。</w:t>
      </w:r>
    </w:p>
    <w:p>
      <w:pPr>
        <w:pStyle w:val="Heading2"/>
      </w:pPr>
      <w:r>
        <w:t>旧概念退出</w:t>
      </w:r>
    </w:p>
    <w:p>
      <w:r>
        <w:t>旧版八因子权重、未来 72 小时爆款概率和抢跑指数不再作为本期指标与验收目标。新主指标为 0—100 的“券选题机会分”，它是规则评分，不是爆款概率。未来 72 小时仅用作天气和券可使用性的观察窗口。旧数据保留，旧榜单不能混入新榜单。</w:t>
      </w:r>
    </w:p>
    <w:p>
      <w:pPr>
        <w:pStyle w:val="Heading2"/>
      </w:pPr>
      <w:r>
        <w:t>用户与覆盖</w:t>
      </w:r>
    </w:p>
    <w:p>
      <w:r>
        <w:t>主要用户是上海美食探店、团购测评和短视频创作者。沿用当前 308 个品牌候选，所有启用品牌均应生成扫描任务；品牌无券、搜索误匹配、采集失败、覆盖不完整分别展示。品牌数量不等于已接入数量，同品牌多个门店不重复计为品牌。</w:t>
      </w:r>
    </w:p>
    <w:p>
      <w:pPr>
        <w:pStyle w:val="Heading2"/>
      </w:pPr>
      <w:r>
        <w:t>业务流程</w:t>
      </w:r>
    </w:p>
    <w:p>
      <w:r>
        <w:t>全量品牌任务 → 串行检索并翻页 → 品牌及上海适用性核验 → 保存券快照 → 对比上次成功快照 → 识别上新或更优惠 → 检索该品牌该券的达人内容 → 补充品牌指数和环境信息 → 计算机会分与证据完整度 → 排序、站内提醒、持续复核。</w:t>
      </w:r>
    </w:p>
    <w:p>
      <w:pPr>
        <w:pStyle w:val="Heading2"/>
      </w:pPr>
      <w:r>
        <w:t>日常操作</w:t>
      </w:r>
    </w:p>
    <w:p>
      <w:r>
        <w:t>用户只需查看结果、筛选品牌或品类并打开证据；不需要人工输入券或逐次复制请求。首次授权及会话失效时的重新登录是必要操作。接口或数据源不可用时系统显示缺口，不把维护表单作为日常替代流程。</w:t>
      </w:r>
    </w:p>
    <w:p>
      <w:r>
        <w:br w:type="page"/>
      </w:r>
    </w:p>
    <w:p>
      <w:pPr>
        <w:pStyle w:val="Heading1"/>
      </w:pPr>
      <w:r>
        <w:t>2 采集与券变化判定</w:t>
      </w:r>
    </w:p>
    <w:p>
      <w:pPr>
        <w:pStyle w:val="Heading2"/>
      </w:pPr>
      <w:r>
        <w:t>采集节奏</w:t>
      </w:r>
    </w:p>
    <w:p>
      <w:r>
        <w:t>时区固定 Asia/Shanghai，每日 00:00、12:00 创建轮次。全局采集并发为 1，上一请求结束后随机等待 1—2 秒再发下一请求，覆盖搜索、翻页、详情、达人及重试请求。没有人工更新、补采或重试的旁路。遇限流应延长等待或停采，不能把 1—2 秒当作账号安全保证。</w:t>
      </w:r>
    </w:p>
    <w:p>
      <w:pPr>
        <w:pStyle w:val="Heading2"/>
      </w:pPr>
      <w:r>
        <w:t>轮次完成与覆盖</w:t>
      </w:r>
    </w:p>
    <w:p>
      <w:r>
        <w:t>扫描按品牌逐个执行，轮次启动时间不是所有品牌同一观测时点。对每个品牌记录实际观测时间、页数、完成状态和失败原因。分页上限或错误造成的截断标为部分完成。下一轮到点时若旧轮仍在运行，不启动第二个采集器；合并待执行触发，显示调度延迟。</w:t>
      </w:r>
    </w:p>
    <w:p>
      <w:pPr>
        <w:pStyle w:val="Heading2"/>
      </w:pPr>
      <w:r>
        <w:t>比对基线</w:t>
      </w:r>
    </w:p>
    <w:p>
      <w:r>
        <w:t>与同品牌、同城市、同查询策略和覆盖口径的上一次成功完整快照比较，不能用部分页或失败结果替换基线。首次完整扫描只建立基线；此前没见过的券叫“首次发现”，只有销售开始时间等可靠证据才能标记“已证实上新”。旧快照超过 36 小时标记基线陈旧，降低变化结论可信度。</w:t>
      </w:r>
    </w:p>
    <w:p>
      <w:pPr>
        <w:pStyle w:val="Heading2"/>
      </w:pPr>
      <w:r>
        <w:t>变化类别</w:t>
      </w:r>
    </w:p>
    <w:p>
      <w:r>
        <w:t>保存 NEW_OBSERVED 首次发现、NEW_CONFIRMED 已证实上新、PRICE_DROP 同规格降价、BENEFIT_UPGRADE 同价权益提升、RESTRICTION_RELAXED 限制放宽、UNCHANGED 无变化、NOT_SEEN 本轮未见、UNAVAILABLE 已证实不可售。仅因搜索结果消失不能断言下架。</w:t>
      </w:r>
    </w:p>
    <w:p>
      <w:pPr>
        <w:pStyle w:val="Heading2"/>
      </w:pPr>
      <w:r>
        <w:t>对比对象</w:t>
      </w:r>
    </w:p>
    <w:p>
      <w:r>
        <w:t>同券 ID 的规格或权益也可能变更；不同 ID 也可能对应等价套餐。比对品牌、商品组合、数量或人数、净含量、适用门店、使用时段、期限、新客会员条件、最低消费及附加费。归属或关键条件不明时，仅列待核验，不进入强推荐。</w:t>
      </w:r>
    </w:p>
    <w:p>
      <w:r>
        <w:br w:type="page"/>
      </w:r>
    </w:p>
    <w:p>
      <w:pPr>
        <w:pStyle w:val="Heading1"/>
      </w:pPr>
      <w:r>
        <w:t>3 性价比与内容环境规则</w:t>
      </w:r>
    </w:p>
    <w:p>
      <w:pPr>
        <w:pStyle w:val="Heading2"/>
      </w:pPr>
      <w:r>
        <w:t>同价与更优惠</w:t>
      </w:r>
    </w:p>
    <w:p>
      <w:r>
        <w:t>初始同价容差为 max(1 元, 上次实际售价×3%)，以旧券价格为参照并版本化。只有券类型、使用资格、店域及限制可比时，才比较价格和权益。若新价更低且权益不减，或同价权益数量提升且限制不加重，可判更优惠。涨价换更贵食材、不同档次自助餐或多人套餐不可直接凭字面价值判优。</w:t>
      </w:r>
    </w:p>
    <w:p>
      <w:pPr>
        <w:pStyle w:val="Heading2"/>
      </w:pPr>
      <w:r>
        <w:t>计算边界</w:t>
      </w:r>
    </w:p>
    <w:p>
      <w:r>
        <w:t>实付价包含已知必付附加费。充值门槛、新客或会员专享单列，不与普通券混排。折扣券记录门槛、封顶、叠加条件；储值券与消费券分组。标称原价仅作证据，不能单独用于性价比分。原价为 0 或未知视为缺失；销售结束时间不等于核销有效期。</w:t>
      </w:r>
    </w:p>
    <w:p>
      <w:pPr>
        <w:pStyle w:val="Heading2"/>
      </w:pPr>
      <w:r>
        <w:t>达人饱和度</w:t>
      </w:r>
    </w:p>
    <w:p>
      <w:r>
        <w:t>对入选候选搜索“品牌＋券名或套餐关键项＋价格”，观察近 7 天并重点看近 72 小时。按视频 ID 与独立作者去重，核验品牌、券版本、价格和内容发布时间；无关品牌热帖不扣分。内容达到一定规模时扣分，而不是给达人集中发布加分。搜索只覆盖样本，不能宣称平台全量作者数。</w:t>
      </w:r>
    </w:p>
    <w:p>
      <w:pPr>
        <w:pStyle w:val="Heading2"/>
      </w:pPr>
      <w:r>
        <w:t>品牌热度</w:t>
      </w:r>
    </w:p>
    <w:p>
      <w:r>
        <w:t>优先对接可持续取得的抖音指数，其他平台指数作为补充。分别看最近完整 7 天的热度水平和相对过去 28 天的变化，同平台同口径标准化。粉丝量、搜索结果数及商品月售不能冒充搜索指数。未接入的平台显示缺失，不凭空填数，也不要求每个平台都有数据才展示券。</w:t>
      </w:r>
    </w:p>
    <w:p>
      <w:pPr>
        <w:pStyle w:val="Heading2"/>
      </w:pPr>
      <w:r>
        <w:t>环境因素</w:t>
      </w:r>
    </w:p>
    <w:p>
      <w:r>
        <w:t>按未来 72 小时上海天气预报、节假日及调休日评估销售适配。冷饮、高温；火锅、降温等属于待检验的品类假设，应低权重使用。强降雨对到店可达性可以产生负向影响；节假日并非一律加分，必须结合券是否可用、店铺营业和预约限制。</w:t>
      </w:r>
    </w:p>
    <w:p>
      <w:r>
        <w:br w:type="page"/>
      </w:r>
    </w:p>
    <w:p>
      <w:pPr>
        <w:pStyle w:val="Heading1"/>
      </w:pPr>
      <w:r>
        <w:t>4 评分与结果展示</w:t>
      </w:r>
    </w:p>
    <w:p>
      <w:pPr>
        <w:pStyle w:val="Heading2"/>
      </w:pPr>
      <w:r>
        <w:t>评分公式</w:t>
      </w:r>
    </w:p>
    <w:p>
      <w:r>
        <w:t>V3 初始规则：S = clip(0.60V + 0.15N + 0.15H + 0.10E − D, 0, 100)。V 为优惠价值，N 为变化新鲜度，H 为品牌热度，E 为环境适配，各为 0—100；D 为达人饱和扣分，范围 0—30。权重是可调整的业务初值，不是统计验证后的预测参数。</w:t>
      </w:r>
    </w:p>
    <w:p>
      <w:pPr>
        <w:pStyle w:val="Heading2"/>
      </w:pPr>
      <w:r>
        <w:t>优惠价值 V</w:t>
      </w:r>
    </w:p>
    <w:p>
      <w:r>
        <w:t>V = 0.60I + 0.25A + 0.15U。I 为改善幅度：同规格降价比例或同价同质权益增量映射至 0—100；A 为近 30 天同类可比券的单位价格优势百分位；U 为使用便利度，包括可用时段、门店覆盖、期限和资格门槛。首次发现券没有旧价时 I 未知；可有 A，但不得伪造改善幅度。</w:t>
      </w:r>
    </w:p>
    <w:p>
      <w:pPr>
        <w:pStyle w:val="Heading2"/>
      </w:pPr>
      <w:r>
        <w:t>新鲜度与达人扣分</w:t>
      </w:r>
    </w:p>
    <w:p>
      <w:r>
        <w:t>已证实上新或已核实改善，在证据时间起 24 小时内 N=100，24—48 小时 N=70，48—72 小时 N=40，超过 72 小时 N=10；首次发现但未证实变化时 N=30 且标注发现时间。达人扣分初值按有效样本近 72 小时独立作者数：0—4 人扣 0，5—14 人扣 10，15—29 人扣 20，30 人及以上扣 30。样本不足时不能据零结果认定无人发布。</w:t>
      </w:r>
    </w:p>
    <w:p>
      <w:pPr>
        <w:pStyle w:val="Heading2"/>
      </w:pPr>
      <w:r>
        <w:t>缺失与排序</w:t>
      </w:r>
    </w:p>
    <w:p>
      <w:r>
        <w:t>不以 0 分填补缺失，不把缺失权重分摊给已知项。各未知输入按其取值范围生成 S 下界与上界，同时显示证据完整度。V 的内部缺失也逐项传播区间。只有品牌及上海适用可核验、价值证据足够且 D 可评估的候选能进入推荐榜；其余进入观察榜。推荐榜按分数下界排序，分数区间重叠时按价值改善和数据新鲜度排序。</w:t>
      </w:r>
    </w:p>
    <w:p>
      <w:pPr>
        <w:pStyle w:val="Heading2"/>
      </w:pPr>
      <w:r>
        <w:t>页面与提醒</w:t>
      </w:r>
    </w:p>
    <w:p>
      <w:r>
        <w:t>首页分推荐、观察、数据异常三个视图；券详情展示新旧差异、实付及限制、各项贡献、达人证据、指数和天气时点。S 下界≥70 且有确认改善或上新时列为优先关注，50—69 普通关注；这些是初始阈值。站内提醒对同一变化去重，只有价格、权益或等级实质变化再提醒；外部推送后续单独配置。</w:t>
      </w:r>
    </w:p>
    <w:p>
      <w:r>
        <w:br w:type="page"/>
      </w:r>
    </w:p>
    <w:p>
      <w:pPr>
        <w:pStyle w:val="Heading1"/>
      </w:pPr>
      <w:r>
        <w:t>5 落地范围与验收</w:t>
      </w:r>
    </w:p>
    <w:p>
      <w:pPr>
        <w:pStyle w:val="Heading2"/>
      </w:pPr>
      <w:r>
        <w:t>MVP 边界</w:t>
      </w:r>
    </w:p>
    <w:p>
      <w:r>
        <w:t>先交付两次日扫描、串行限速、真实券快照、品牌归属、差异对比和可解释观察榜，再按数据可得性接入达人、热度、天气与节假日。未接入的维度保留缺失或区间，不能在 MVP 冒称四因素完整评分。优惠券入口已验证可返回商品，不代表所有品牌都能精准命中或获取详情。</w:t>
      </w:r>
    </w:p>
    <w:p>
      <w:pPr>
        <w:pStyle w:val="Heading2"/>
      </w:pPr>
      <w:r>
        <w:t>数据事实与缺口</w:t>
      </w:r>
    </w:p>
    <w:p>
      <w:r>
        <w:t>2026 年 9 月 20 日实测：选品广场查询 4 次返回 48 个不同商品，翻页可用；瑞幸样本含品牌 ID、售价和月售。牛New 搜索出现其他商家，精准归属仍待解决。达人搜索采集、各平台指数、完整适用门店与核销规则尚未完成接入验证。</w:t>
      </w:r>
    </w:p>
    <w:p>
      <w:pPr>
        <w:pStyle w:val="Heading2"/>
      </w:pPr>
      <w:r>
        <w:t>质量与账号保护</w:t>
      </w:r>
    </w:p>
    <w:p>
      <w:r>
        <w:t>请求凭据仅本地安全保存，不出现在前端、日志或文档。401/403、验证码或风控业务码暂停对应来源；429 优先遵循 Retry-After。串行和间隔只能降低请求密度，不能保证不封号。不使用轮换账号、代理或破解签名规避限制。</w:t>
      </w:r>
    </w:p>
    <w:p>
      <w:pPr>
        <w:pStyle w:val="Heading2"/>
      </w:pPr>
      <w:r>
        <w:t>验收标准</w:t>
      </w:r>
    </w:p>
    <w:p>
      <w:r>
        <w:t>全量启用品牌均有扫描状态；分页完整性可审计；模拟并发触发也只有一个请求在途且完成后至少间隔 1 秒。缺失页不能产生下架结论。可重放真实样本得到相同差异与分数。验证新客条件、会员价格、加价换套餐、同名品牌及首次基线等反例。连续 7 天 14 个轮次形成真实运行记录；异常轮次保留并修复，禁止伪造成功。</w:t>
      </w:r>
    </w:p>
    <w:p>
      <w:pPr>
        <w:pStyle w:val="Heading2"/>
      </w:pPr>
      <w:r>
        <w:t>效果校准</w:t>
      </w:r>
    </w:p>
    <w:p>
      <w:r>
        <w:t>前 2 周积累采集质量与候选样本，后续按时间顺序评估 Top 10 有效优惠率、误归属率和内容机会。没有未来内容表现数据时只评估数据和比价质量。月售变化不能当作 72 小时销量标签。至少积累 4—8 周后再检查权重与阈值，具体上线取决于样本量及误差，不按日期自动认定有效。</w:t>
      </w:r>
    </w:p>
    <w:sectPr w:rsidR="00FC693F" w:rsidRPr="0006063C" w:rsidSect="00034616">
      <w:footerReference w:type="default" r:id="rId9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V3.0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20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上海美食优惠券机会雷达 产品需求文档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