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上海美食优惠券机会雷达 技术设计文档</w:t>
      </w:r>
    </w:p>
    <w:p>
      <w:pPr>
        <w:pStyle w:val="Subtitle"/>
      </w:pPr>
      <w:r>
        <w:t>版本 V3.0  ·  2026 年 9 月 20 日  ·  上海</w:t>
      </w:r>
    </w:p>
    <w:p>
      <w:pPr>
        <w:pStyle w:val="Heading1"/>
      </w:pPr>
      <w:r>
        <w:t>1 系统架构与执行边界</w:t>
      </w:r>
    </w:p>
    <w:p>
      <w:pPr>
        <w:pStyle w:val="Heading2"/>
      </w:pPr>
      <w:r>
        <w:t>架构</w:t>
      </w:r>
    </w:p>
    <w:p>
      <w:r>
        <w:t>React + TypeScript 负责榜单、券对比、证据和任务状态；Node.js + TypeScript 负责采集适配器、任务执行、归属校验、差异检测和纯函数评分。保留本地 PGlite 开发环境，生产建议 PostgreSQL；首版采用数据库任务队列和单一采集 Worker，无需引入分布式并发采集。</w:t>
      </w:r>
    </w:p>
    <w:p>
      <w:pPr>
        <w:pStyle w:val="Heading2"/>
      </w:pPr>
      <w:r>
        <w:t>处理链路</w:t>
      </w:r>
    </w:p>
    <w:p>
      <w:r>
        <w:t>Scheduler → 持久化轮次和品牌任务 → 全局串行请求门控 → DouyinSelectionAdapter → 原始响应与规范化快照 → 归属匹配 → DiffEngine → 候选补充采集 → FeatureBuilder → ScoreEngine → API 与站内提醒。先完成全量券扫描，再补充候选信号；候选补充可以跨轮继续，但必须标注各来源的观测时点。</w:t>
      </w:r>
    </w:p>
    <w:p>
      <w:pPr>
        <w:pStyle w:val="Heading2"/>
      </w:pPr>
      <w:r>
        <w:t>定时与互斥</w:t>
      </w:r>
    </w:p>
    <w:p>
      <w:r>
        <w:t>应用调度表达式 0 0,12 * * *，时区 Asia/Shanghai。唯一键为 source＋scheduled_at，持久化 next_run_at；数据库 lease 加 fencing token 防止多实例重复执行。没有外部 Codex 定时任务，本次文档也不代表定时采集已经启动。重启后从检查点恢复，错过多个触发只补最近一个，避免补跑洪峰。</w:t>
      </w:r>
    </w:p>
    <w:p>
      <w:pPr>
        <w:pStyle w:val="Heading2"/>
      </w:pPr>
      <w:r>
        <w:t>全局速率门控</w:t>
      </w:r>
    </w:p>
    <w:p>
      <w:r>
        <w:t>所有采集调用必须经过同一 dispatcher：concurrency=1；next_allowed_at = last_response_finished_at + random(1000,2000)ms。禁用 HTTP 客户端隐式自动重试，重试也排队；记录开始、结束和实际间隔。网络慢时不补偿发包，守护进程与“立即更新”共用互斥锁，不另开并发。</w:t>
      </w:r>
    </w:p>
    <w:p>
      <w:pPr>
        <w:pStyle w:val="Heading2"/>
      </w:pPr>
      <w:r>
        <w:t>容量与任务积压</w:t>
      </w:r>
    </w:p>
    <w:p>
      <w:r>
        <w:t>308 个品牌每品牌一页，单轮等待约 307—614 秒，另加网络和处理时间；若平均三页则约 923—1846 秒等待。这只是容量估算，不是完成 SLA。轮次超 90 分钟提醒，临近下一轮仍未完成则合并触发。不得为了赶进度增加并发或缩短间隔。</w:t>
      </w:r>
    </w:p>
    <w:p>
      <w:r>
        <w:br w:type="page"/>
      </w:r>
    </w:p>
    <w:p>
      <w:pPr>
        <w:pStyle w:val="Heading1"/>
      </w:pPr>
      <w:r>
        <w:t>2 采集接口与数据准入</w:t>
      </w:r>
    </w:p>
    <w:p>
      <w:pPr>
        <w:pStyle w:val="Heading2"/>
      </w:pPr>
      <w:r>
        <w:t>已验证查询接口</w:t>
      </w:r>
    </w:p>
    <w:p>
      <w:r>
        <w:t>GET https://eos.douyin.com/life/alliance/v2/goods/selection/get。当前样本参数：from_type=5、sort_type=8、scene=1、city=310000、key_word=品牌词、cursor=0、count=12、image_size={"width":360}。排序及场景枚举含义未验证，先保留样本值，不能声称按最新排序。</w:t>
      </w:r>
    </w:p>
    <w:p>
      <w:pPr>
        <w:pStyle w:val="Heading2"/>
      </w:pPr>
      <w:r>
        <w:t>成功与翻页协议</w:t>
      </w:r>
    </w:p>
    <w:p>
      <w:r>
        <w:t>检查 HTTP 状态、JSON 解析、status_code=0 及 product_list 数组结构；分页使用返回 cursor 和 has_more，不自行递增猜测。保存请求摘要、页次、获取时间与响应摘要。重复游标、空页且 has_more=true、重复页摘要或超过单品牌 100 页上限时停止并标记 partial，不能标 complete。品牌之间按轮次固定顺序处理，失败品牌延迟重试。</w:t>
      </w:r>
    </w:p>
    <w:p>
      <w:pPr>
        <w:pStyle w:val="Heading2"/>
      </w:pPr>
      <w:r>
        <w:t>商品字段</w:t>
      </w:r>
    </w:p>
    <w:p>
      <w:r>
        <w:t>product_id 及 poi_id、brand_id 存字符串，避免 JavaScript 大整数精度损失；JSON 解析器必须保留超安全整数。product_info.product_name 为标题；price_range.min/max 与 origin_price 在样本中以分计，展示时除 100。origin_price=0 作为未知处理。statistics.sold_l30_count 与原始月售文案保存为平台口径的 30 天指标，不转换成当日销量。</w:t>
      </w:r>
    </w:p>
    <w:p>
      <w:pPr>
        <w:pStyle w:val="Heading2"/>
      </w:pPr>
      <w:r>
        <w:t>门店与时间字段</w:t>
      </w:r>
    </w:p>
    <w:p>
      <w:r>
        <w:t>nearest_poi_info.brand_data 可提供品牌 ID 和名称；poi_name、address 为关联门店信息。nearest_poi_info 只是一家关联门店，不能代替全部可用门店。city 查询参数与该门店证据一起用于上海判定，无法证明券可在上海使用则隔离。sold_start_time 保存为平台销售开始时间；product_sold_end_time 保存原文和带时区解析值，核销期限另设字段，不混用。</w:t>
      </w:r>
    </w:p>
    <w:p>
      <w:pPr>
        <w:pStyle w:val="Heading2"/>
      </w:pPr>
      <w:r>
        <w:t>身份与权限</w:t>
      </w:r>
    </w:p>
    <w:p>
      <w:r>
        <w:t>凭据通过首次本地配置进入受限文件或秘密存储，API 仅引用 credential_ref；禁止提交到 Git、请求日志或前端。当前验证证明会话下请求可重放，不能推断接口无需登录或长期可用。授权失效由系统暂停并提示重新登录；不设计绕过签名、验证码或风控。</w:t>
      </w:r>
    </w:p>
    <w:p>
      <w:r>
        <w:br w:type="page"/>
      </w:r>
    </w:p>
    <w:p>
      <w:pPr>
        <w:pStyle w:val="Heading1"/>
      </w:pPr>
      <w:r>
        <w:t>3 存储结构与快照事务</w:t>
      </w:r>
    </w:p>
    <w:p>
      <w:pPr>
        <w:pStyle w:val="Heading2"/>
      </w:pPr>
      <w:r>
        <w:t>品牌及采集任务</w:t>
      </w:r>
    </w:p>
    <w:p>
      <w:r>
        <w:t>brands(id, name, aliases, enabled, category)；source_brand_bindings(brand_id, platform_brand_id, poi_ids, match_status, evidence, version)；scan_runs(id, scheduled_at, started_at, finished_at, status, coverage)；scan_tasks(run_id, brand_id, state, cursor, page_count, attempt, next_retry_at, error_code)。同一轮次与品牌唯一，保存策略版本。</w:t>
      </w:r>
    </w:p>
    <w:p>
      <w:pPr>
        <w:pStyle w:val="Heading2"/>
      </w:pPr>
      <w:r>
        <w:t>原始页与商品快照</w:t>
      </w:r>
    </w:p>
    <w:p>
      <w:r>
        <w:t>raw_pages(run_id, brand_id, cursor, request_hash, response_hash, storage_ref, fetched_at, status)；coupon_snapshots(id, run_id, brand_id, source_product_id, observed_at, city, price_min_fen, price_max_fen, origin_price_fen, benefits, restrictions, poi_evidence, platform_metrics, source_times, identity_confidence)。金额存整数分；缺失用 null，原始与规范化值均保留。</w:t>
      </w:r>
    </w:p>
    <w:p>
      <w:pPr>
        <w:pStyle w:val="Heading2"/>
      </w:pPr>
      <w:r>
        <w:t>可比规格与事件</w:t>
      </w:r>
    </w:p>
    <w:p>
      <w:r>
        <w:t>comparison_signature = 品牌＋券类型＋主权益标准项＋人数或份量＋等级＋资格＋店域＋时段及附加费规则。价格不放入规格指纹；权益变化另由可比组比较。coupon_changes(id, old_snapshot_id, new_snapshot_id, change_type, improvement, confidence, evidence, detected_at, baseline_age)。事件幂等键为品牌、旧新指纹、变化类型及规则版本。</w:t>
      </w:r>
    </w:p>
    <w:p>
      <w:pPr>
        <w:pStyle w:val="Heading2"/>
      </w:pPr>
      <w:r>
        <w:t>信号与评分</w:t>
      </w:r>
    </w:p>
    <w:p>
      <w:r>
        <w:t>creator_observations 保存 video_id、author_id、posted_at、observed_at、匹配券、查询策略与样本覆盖；brand_index_observations 保存 source、metric、period、value、coverage_id；environment_forecasts 保存 issued_at、valid_at、city 和预报值。score_snapshots 保存 as_of、各分项范围、上下界、完整度、gate_status、证据 ID 和 rule_version。</w:t>
      </w:r>
    </w:p>
    <w:p>
      <w:pPr>
        <w:pStyle w:val="Heading2"/>
      </w:pPr>
      <w:r>
        <w:t>事务及基线提交</w:t>
      </w:r>
    </w:p>
    <w:p>
      <w:r>
        <w:t>每页原始证据和规范化记录成功持久化后推进游标。所有页完成、归属及校验通过后，再以事务将品牌 run 状态置为 complete 并更新该品牌基线指针。差异生成与事件写入幂等；任务恢复可重复读页而不能重复触发告警。完整空结果只标本轮未见；连续两轮未见仍不等于证实下架。</w:t>
      </w:r>
    </w:p>
    <w:p>
      <w:pPr>
        <w:pStyle w:val="Heading2"/>
      </w:pPr>
      <w:r>
        <w:t>保留与恢复</w:t>
      </w:r>
    </w:p>
    <w:p>
      <w:r>
        <w:t>建议原始响应保留 30 天、快照和评分保留 12 个月，实际按平台许可调整；删除无业务用途的账号信息及带签名媒体地址。每日数据库备份、每周恢复演练；建议 RPO 24 小时、RTO 4 小时。迁移先备份，回滚服务版本不能破坏历史证据。</w:t>
      </w:r>
    </w:p>
    <w:p>
      <w:r>
        <w:br w:type="page"/>
      </w:r>
    </w:p>
    <w:p>
      <w:pPr>
        <w:pStyle w:val="Heading1"/>
      </w:pPr>
      <w:r>
        <w:t>4 比价算法与特征计算</w:t>
      </w:r>
    </w:p>
    <w:p>
      <w:pPr>
        <w:pStyle w:val="Heading2"/>
      </w:pPr>
      <w:r>
        <w:t>品牌归属</w:t>
      </w:r>
    </w:p>
    <w:p>
      <w:r>
        <w:t>优先使用已核验 platform_brand_id，其次已核验 POI 映射；品牌名称与别名仅用于召回。标题模糊包含“牛”或“寿喜烧”不能判牛New。无准确身份匹配的商品自动进入隔离队列，覆盖报告显示未解决；不要求用户逐条确认才能让其他品牌运行。</w:t>
      </w:r>
    </w:p>
    <w:p>
      <w:pPr>
        <w:pStyle w:val="Heading2"/>
      </w:pPr>
      <w:r>
        <w:t>可比性与改善幅度</w:t>
      </w:r>
    </w:p>
    <w:p>
      <w:r>
        <w:t>严格可比条件：同品牌、同资格、同质量主权益、同店域或明确覆盖包含关系，限制不能变差。同规格降价 r=(old_price-new_price)/old_price，old_price 必须&gt;0；同价同质份数增加 g=(new_qty-old_qty)/old_qty。I=100×clip(max(r,g)/0.30,0,1)，仅使用成立且有证据的分支，不将不同品类价值主观折现。限制放宽但无法量化时 I 未知，并单列事件说明。</w:t>
      </w:r>
    </w:p>
    <w:p>
      <w:pPr>
        <w:pStyle w:val="Heading2"/>
      </w:pPr>
      <w:r>
        <w:t>价值分的其他分项</w:t>
      </w:r>
    </w:p>
    <w:p>
      <w:r>
        <w:t>A=100×(1−同可比组单位实付价的升序百分位)，至少 5 个不同商品且来自近 30 天；样本不足为未知，不借用其他品牌不可比菜品。U 四项各 0—25：未来 7 天可用天数比例、上海适用门店覆盖比例、核销有效期 min(剩余天数/30,1)、资格与附加费透明度。资格项：无门槛且无附加费为 25，有明确限制为 10，条件未知为未知；其他未知项各保留 0—25 区间。</w:t>
      </w:r>
    </w:p>
    <w:p>
      <w:pPr>
        <w:pStyle w:val="Heading2"/>
      </w:pPr>
      <w:r>
        <w:t>达人与指数计算</w:t>
      </w:r>
    </w:p>
    <w:p>
      <w:r>
        <w:t>D 按 PRD 独立作者阶梯扣分；有效命中样本达到某档即可确认扣分下界，查询截断或覆盖未知时上界仍为 30。只有预定义查询组、观察窗、分页策略均成功执行才可计算样本口径的确定 D，并仍注明非全平台。H_source=0.6L+0.4G：L 为最近 7 天均值在此前 90 个完整日中的百分位，G 为本期 7 天均值相对之前 28 天均值的增幅在冻结参考分布中的百分位。历史不足或分母为零则未知。</w:t>
      </w:r>
    </w:p>
    <w:p>
      <w:pPr>
        <w:pStyle w:val="Heading2"/>
      </w:pPr>
      <w:r>
        <w:t>环境与跨平台组合</w:t>
      </w:r>
    </w:p>
    <w:p>
      <w:r>
        <w:t>H 固定初始权重为抖音 0.6、百度 0.2、其他一个已准入指数 0.2；缺失保留区间，不重新归一。E=clip(50+T+W+J,0,100)。T 品类温度适配范围 −20至20，W 降雨出行影响 −20至0，J 节假日需求适配 −10至20；规则按品类配置，未经验证默认中性且标注规则假设。无预报或日历数据则相应分项未知。</w:t>
      </w:r>
    </w:p>
    <w:p>
      <w:r>
        <w:br w:type="page"/>
      </w:r>
    </w:p>
    <w:p>
      <w:pPr>
        <w:pStyle w:val="Heading1"/>
      </w:pPr>
      <w:r>
        <w:t>5 评分输出与接口契约</w:t>
      </w:r>
    </w:p>
    <w:p>
      <w:pPr>
        <w:pStyle w:val="Heading2"/>
      </w:pPr>
      <w:r>
        <w:t>区间传播</w:t>
      </w:r>
    </w:p>
    <w:p>
      <w:r>
        <w:t>所有分项使用 [lower,upper]。S_lower=clip(0.60V_lower+0.15N_lower+0.15H_lower+0.10E_lower−D_upper,0,100)，S_upper 使用各正项 upper 减 D_lower。score 只在所有必要分项确定时填数，其余为 null，返回 score_lower 与 score_upper。evidence_completeness 为所需字段的有证据权重比例，单独展示，不能称统计置信度。</w:t>
      </w:r>
    </w:p>
    <w:p>
      <w:pPr>
        <w:pStyle w:val="Heading2"/>
      </w:pPr>
      <w:r>
        <w:t>算例与门槛</w:t>
      </w:r>
    </w:p>
    <w:p>
      <w:r>
        <w:t>假设 V=80、N=100、H=60、E=70、D=10，则 S=69。若 D 未知，则 S 为 49—79，不得用 79 排榜或按 0 扣分。品牌归属不明、实付或主权益缺失、上海适用不明、不可售均不进入推荐榜。首次基线只展示存量，不能触发上新提醒。</w:t>
      </w:r>
    </w:p>
    <w:p>
      <w:pPr>
        <w:pStyle w:val="Heading2"/>
      </w:pPr>
      <w:r>
        <w:t>查询 API</w:t>
      </w:r>
    </w:p>
    <w:p>
      <w:r>
        <w:t>GET /api/v3/opportunities?view=recommended|watch&amp;brand_id=&amp;run_id= 返回事件、新旧券摘要、分数范围、quality_flags、各来源时点；GET /api/v3/coupons/:id/history 返回版本历史；GET /api/v3/changes/:id 返回完整差异和证据。所有 ID 为字符串，金额为整数分，时间为 ISO 8601，null 与 0 严格区分。</w:t>
      </w:r>
    </w:p>
    <w:p>
      <w:pPr>
        <w:pStyle w:val="Heading2"/>
      </w:pPr>
      <w:r>
        <w:t>任务与设置 API</w:t>
      </w:r>
    </w:p>
    <w:p>
      <w:r>
        <w:t>GET /api/v3/runs 和 /api/v3/runs/:id 返回进度、覆盖、失败及延迟；POST /api/v3/runs 创建受限手动任务并返回 202，Idempotency-Key 防重复；GET /api/v3/sources/health 查看会话状态。PATCH /api/v3/settings 可调整阈值、品牌启用和停采，服务端禁止并发&gt;1或间隔&lt;1000ms；凭据内容不返回。</w:t>
      </w:r>
    </w:p>
    <w:p>
      <w:pPr>
        <w:pStyle w:val="Heading2"/>
      </w:pPr>
      <w:r>
        <w:t>错误及前端行为</w:t>
      </w:r>
    </w:p>
    <w:p>
      <w:r>
        <w:t>业务错误码 AUTH_EXPIRED、RATE_LIMITED、RISK_BLOCKED、PARTIAL_SCAN、IDENTITY_UNRESOLVED、SOURCE_MISSING、STALE_BASELINE。前端以最近一次成功数据继续展示并明确标旧，不能把失败渲染为空列表或“无优惠”。券对比先显示差价与条件，再显示规则贡献及证据时间。</w:t>
      </w:r>
    </w:p>
    <w:p>
      <w:pPr>
        <w:pStyle w:val="Heading2"/>
      </w:pPr>
      <w:r>
        <w:t>告警幂等</w:t>
      </w:r>
    </w:p>
    <w:p>
      <w:r>
        <w:t>站内 notification 唯一键为 change_id＋alert_type＋规则版本，规则版本升级重算默认不重发。新增实质改善产生新事件；同事件分数因天气轻微波动不重复提醒。来源故障单独告警，不与选题推荐混排。外部通知不在首版自动开启。</w:t>
      </w:r>
    </w:p>
    <w:p>
      <w:r>
        <w:br w:type="page"/>
      </w:r>
    </w:p>
    <w:p>
      <w:pPr>
        <w:pStyle w:val="Heading1"/>
      </w:pPr>
      <w:r>
        <w:t>6 容错部署与开发验收</w:t>
      </w:r>
    </w:p>
    <w:p>
      <w:pPr>
        <w:pStyle w:val="Heading2"/>
      </w:pPr>
      <w:r>
        <w:t>错误处理</w:t>
      </w:r>
    </w:p>
    <w:p>
      <w:r>
        <w:t>401/403、身份失效或风险提示立即暂停相关来源，不自动反复登录。429 按 Retry-After 等待，缺失时退避 60秒、5分钟、30分钟；最多 3 次，仍失败暂停来源。网络超时或 5xx 最多 3 次，退避 30秒、2分钟、10分钟。所有重试仍遵守串行门控，其他来源可在其允许时段继续执行。</w:t>
      </w:r>
    </w:p>
    <w:p>
      <w:pPr>
        <w:pStyle w:val="Heading2"/>
      </w:pPr>
      <w:r>
        <w:t>监控与非功能要求</w:t>
      </w:r>
    </w:p>
    <w:p>
      <w:r>
        <w:t>记录在途请求数、请求间隔、限流率、业务错误、品牌任务覆盖率、partial 比例、身份匹配率、基线年龄、各信号时延和提醒重复率。推荐榜数据通常使用最近完整轮次；旧于 24 小时标过期。目标缓存查询 P95&lt;500ms，开发机至少支持 308 品牌及 90 天回放；容量验收按实测页数报告。</w:t>
      </w:r>
    </w:p>
    <w:p>
      <w:pPr>
        <w:pStyle w:val="Heading2"/>
      </w:pPr>
      <w:r>
        <w:t>部署与秘密管理</w:t>
      </w:r>
    </w:p>
    <w:p>
      <w:r>
        <w:t>单实例 Node Worker 与 API、React 静态服务、PostgreSQL 部署在受控环境。开发用 PGlite 时仅一个进程拥有写连接。配置使用 credential_ref、TZ、rule_version、page_limit、timeouts 和 retention_days，秘密由环境秘密挂载，文件权限 0600。停采开关持久化，升级前停止领取任务，完成当前请求后保存检查点。</w:t>
      </w:r>
    </w:p>
    <w:p>
      <w:pPr>
        <w:pStyle w:val="Heading2"/>
      </w:pPr>
      <w:r>
        <w:t>里程碑顺序</w:t>
      </w:r>
    </w:p>
    <w:p>
      <w:r>
        <w:t>M1 实现真实券采集、串行节奏、两次日调度和快照；M2 实现精准归属、新旧对比及观察榜；M3 完成达人样本、指数和天气日历准入与分项计算；M4 上线完整机会榜、提醒及全品牌 7 天试运行。M1 和 M2 不因外部指数缺失停工，M3 未通过的来源保持缺失。</w:t>
      </w:r>
    </w:p>
    <w:p>
      <w:pPr>
        <w:pStyle w:val="Heading2"/>
      </w:pPr>
      <w:r>
        <w:t>验证与校准</w:t>
      </w:r>
    </w:p>
    <w:p>
      <w:r>
        <w:t>单测覆盖金额精度、大整数 ID、首次基线、套餐不可比、缺失区间、风险暂停及幂等。集成测试使用脱敏固定响应验证跨页去重、重启恢复、事务回滚、两轮差异和单 Worker 互斥。实时试点采用多品类约 10 品牌后扩全池，依然串行。评分回测只使用 available_at≤as_of 的证据，天气用当时预报；训练与评估按时间划分并隔离同券事件，防泄漏。</w:t>
      </w:r>
    </w:p>
    <w:p>
      <w:pPr>
        <w:pStyle w:val="Heading2"/>
      </w:pPr>
      <w:r>
        <w:t>依赖与迁移说明</w:t>
      </w:r>
    </w:p>
    <w:p>
      <w:r>
        <w:t>Node.js 规则计算可独立闭环，大模型不是运行必需；可选文本抽取必须返回字段证据与失败状态。旧的 6 小时公告调度与旧榜单从主流程停用，历史记录只读保留。当前只完成新版文档和 TODO 更新，生产调度、适配器与评分实现均以 TODO 验收为准。</w:t>
      </w:r>
    </w:p>
    <w:sectPr w:rsidR="00FC693F" w:rsidRPr="0006063C" w:rsidSect="00034616">
      <w:footerReference w:type="default" r:id="rId9"/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V3.0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Arial" w:hAnsi="Arial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="Arial" w:hAnsi="Arial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="Arial" w:hAnsi="Arial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上海美食优惠券机会雷达 技术设计文档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