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美食品牌72小时爆款预测系统</w:t>
        <w:br/>
        <w:t>技术设计文档 TDD</w:t>
      </w:r>
    </w:p>
    <w:p>
      <w:r>
        <w:t>版本 v1.1  |  日期 2026年9月20日  |  对应 PRD v1.1</w:t>
      </w:r>
    </w:p>
    <w:p>
      <w:r>
        <w:t>本文供后端、数据、算法、前端和测试团队实现系统。技术方案以可复现的时点数据为核心：每个预测都保存输入快照、特征版本、标签口径、模型与校准器版本，再将预测和拍摄竞争度组合成抢跑指数。</w:t>
      </w:r>
    </w:p>
    <w:p>
      <w:pPr>
        <w:pStyle w:val="Heading2"/>
      </w:pPr>
      <w:r>
        <w:t>1 技术边界与关键决策</w:t>
      </w:r>
    </w:p>
    <w:p>
      <w:r>
        <w:t>先以模块化单体和批处理交付，按200个品牌的上海监测负载规划。建议采用Python服务、关系数据库、任务队列、对象存储与Web前端；具体依赖版本在实施时锁定，经兼容与安全检查后发布。以下为架构选型，不代表现有系统已经部署。</w:t>
      </w:r>
    </w:p>
    <w:p>
      <w:r>
        <w:t>规则模式与概率模式共用事件、特征和展示协议。规则模式p72和headstart_index为null；校准模式p72∈[0,1]，headstart_index = 100×p72×(1−saturation)。前端仅将p72乘100显示百分比。</w:t>
      </w:r>
    </w:p>
    <w:p>
      <w:r>
        <w:t>预测对象是指定平台和地域范围内尚未爆发的事件；正式标签L1需需求指标与内容供给同时可观测。抽样来源必须限定推断总体。不能把授权用户视频接口视为全站关键词数据接口。[1][2]</w:t>
      </w:r>
    </w:p>
    <w:p>
      <w:pPr>
        <w:pStyle w:val="Heading2"/>
      </w:pPr>
      <w:r>
        <w:t>规模假设</w:t>
      </w:r>
    </w:p>
    <w:p>
      <w:r>
        <w:t>试点目标200品牌、最低150个，仅上海、10并发用户；容量验收使用2万事件和200万观测行。扫描所有事件时仅对仍有效的活动增量评分。扩展到500品牌前，重新评估配额、存储、索引与队列积压。</w:t>
      </w:r>
    </w:p>
    <w:p>
      <w:pPr>
        <w:pStyle w:val="Heading2"/>
      </w:pPr>
      <w:r>
        <w:t>文档导航</w:t>
      </w:r>
    </w:p>
    <w:p>
      <w:r>
        <w:t>第2页系统架构；第3页采集；第4至5页数据模型与字段；第6页特征；第7页标签与训练；第8页推理与API；第9页调度、监控和容错；第10页合规、部署和验收；第11页参考来源与开放决策。</w:t>
      </w:r>
    </w:p>
    <w:p>
      <w:r>
        <w:br w:type="page"/>
      </w:r>
    </w:p>
    <w:p>
      <w:pPr>
        <w:pStyle w:val="Heading1"/>
      </w:pPr>
      <w:r>
        <w:t>2 系统架构与模块职责</w:t>
      </w:r>
    </w:p>
    <w:p>
      <w:r>
        <w:t>数据流：许可API／人工CSV／官方页面 → 接入适配器 → 原始快照与来源登记 → 清洗去重及事件识别 → 观测库 → 时点特征 → 规则或模型推理 → 预测库 → 雷达API与告警。</w:t>
      </w:r>
    </w:p>
    <w:p>
      <w:r>
        <w:t>学习闭环：观测库 → 72小时结果确认 → 标签库 → 时间切分与训练 → 独立校准 → 测试与发布门禁 → 模型仓库。用户反馈进入反馈库，用于选题体验分析，不能直接覆盖客观爆发标签。</w:t>
      </w:r>
    </w:p>
    <w:tbl>
      <w:tblPr>
        <w:tblW w:type="auto" w:w="0"/>
        <w:tblLayout w:type="fixed"/>
        <w:tblLook w:firstColumn="1" w:firstRow="1" w:lastColumn="0" w:lastRow="0" w:noHBand="0" w:noVBand="1" w:val="04A0"/>
      </w:tblPr>
      <w:tblGrid>
        <w:gridCol w:w="1440"/>
        <w:gridCol w:w="2880"/>
        <w:gridCol w:w="5227"/>
      </w:tblGrid>
      <w:tr>
        <w:trPr>
          <w:cantSplit/>
          <w:tblHeader/>
        </w:trPr>
        <w:tc>
          <w:tcPr>
            <w:tcW w:type="dxa" w:w="1440"/>
            <w:vAlign w:val="center"/>
            <w:tcBorders>
              <w:top w:val="single" w:sz="4" w:color="D9D9D9"/>
              <w:left w:val="single" w:sz="4" w:color="D9D9D9"/>
              <w:bottom w:val="single" w:sz="4" w:color="D9D9D9"/>
              <w:right w:val="single" w:sz="4" w:color="D9D9D9"/>
            </w:tcBorders>
            <w:shd w:fill="E9EFF5"/>
            <w:tcMar>
              <w:top w:w="90" w:type="dxa"/>
              <w:left w:w="90" w:type="dxa"/>
              <w:bottom w:w="90" w:type="dxa"/>
              <w:right w:w="90" w:type="dxa"/>
            </w:tcMar>
          </w:tcPr>
          <w:p>
            <w:pPr>
              <w:spacing w:after="40" w:line="259" w:lineRule="auto"/>
            </w:pPr>
            <w:r>
              <w:rPr>
                <w:b/>
                <w:sz w:val="18"/>
              </w:rPr>
              <w:t>模块</w:t>
            </w:r>
          </w:p>
        </w:tc>
        <w:tc>
          <w:tcPr>
            <w:tcW w:type="dxa" w:w="2880"/>
            <w:vAlign w:val="center"/>
            <w:tcBorders>
              <w:top w:val="single" w:sz="4" w:color="D9D9D9"/>
              <w:left w:val="single" w:sz="4" w:color="D9D9D9"/>
              <w:bottom w:val="single" w:sz="4" w:color="D9D9D9"/>
              <w:right w:val="single" w:sz="4" w:color="D9D9D9"/>
            </w:tcBorders>
            <w:shd w:fill="E9EFF5"/>
            <w:tcMar>
              <w:top w:w="90" w:type="dxa"/>
              <w:left w:w="90" w:type="dxa"/>
              <w:bottom w:w="90" w:type="dxa"/>
              <w:right w:w="90" w:type="dxa"/>
            </w:tcMar>
          </w:tcPr>
          <w:p>
            <w:pPr>
              <w:spacing w:after="40" w:line="259" w:lineRule="auto"/>
            </w:pPr>
            <w:r>
              <w:rPr>
                <w:b/>
                <w:sz w:val="18"/>
              </w:rPr>
              <w:t>建议实现</w:t>
            </w:r>
          </w:p>
        </w:tc>
        <w:tc>
          <w:tcPr>
            <w:tcW w:type="dxa" w:w="5227"/>
            <w:vAlign w:val="center"/>
            <w:tcBorders>
              <w:top w:val="single" w:sz="4" w:color="D9D9D9"/>
              <w:left w:val="single" w:sz="4" w:color="D9D9D9"/>
              <w:bottom w:val="single" w:sz="4" w:color="D9D9D9"/>
              <w:right w:val="single" w:sz="4" w:color="D9D9D9"/>
            </w:tcBorders>
            <w:shd w:fill="E9EFF5"/>
            <w:tcMar>
              <w:top w:w="90" w:type="dxa"/>
              <w:left w:w="90" w:type="dxa"/>
              <w:bottom w:w="90" w:type="dxa"/>
              <w:right w:w="90" w:type="dxa"/>
            </w:tcMar>
          </w:tcPr>
          <w:p>
            <w:pPr>
              <w:spacing w:after="40" w:line="259" w:lineRule="auto"/>
            </w:pPr>
            <w:r>
              <w:rPr>
                <w:b/>
                <w:sz w:val="18"/>
              </w:rPr>
              <w:t>职责与边界</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Web与API</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React类前端＋FastAPI类服务</w:t>
            </w:r>
          </w:p>
        </w:tc>
        <w:tc>
          <w:tcPr>
            <w:tcW w:type="dxa" w:w="522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列表、详情、导入、反馈、权限；不在前端重算模型。</w:t>
            </w:r>
          </w:p>
        </w:tc>
      </w:tr>
      <w:tr>
        <w:trPr>
          <w:cantSplit/>
        </w:trPr>
        <w:tc>
          <w:tcPr>
            <w:tcW w:type="dxa" w:w="144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关系存储</w:t>
            </w:r>
          </w:p>
        </w:tc>
        <w:tc>
          <w:tcPr>
            <w:tcW w:type="dxa" w:w="288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PostgreSQL</w:t>
            </w:r>
          </w:p>
        </w:tc>
        <w:tc>
          <w:tcPr>
            <w:tcW w:type="dxa" w:w="5227"/>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事件、观测、版本、预测、标签和告警；事务保证原子更新。</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对象存储</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S3兼容存储</w:t>
            </w:r>
          </w:p>
        </w:tc>
        <w:tc>
          <w:tcPr>
            <w:tcW w:type="dxa" w:w="522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原始响应、许可证据、训练清单与模型文件；按授权设置生命周期。</w:t>
            </w:r>
          </w:p>
        </w:tc>
      </w:tr>
      <w:tr>
        <w:trPr>
          <w:cantSplit/>
        </w:trPr>
        <w:tc>
          <w:tcPr>
            <w:tcW w:type="dxa" w:w="144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任务执行</w:t>
            </w:r>
          </w:p>
        </w:tc>
        <w:tc>
          <w:tcPr>
            <w:tcW w:type="dxa" w:w="288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Celery类队列＋Redis</w:t>
            </w:r>
          </w:p>
        </w:tc>
        <w:tc>
          <w:tcPr>
            <w:tcW w:type="dxa" w:w="5227"/>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采集、特征、评分与通知；单一调度入口，任务幂等。</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离线训练</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Python＋scikit-learn类库</w:t>
            </w:r>
          </w:p>
        </w:tc>
        <w:tc>
          <w:tcPr>
            <w:tcW w:type="dxa" w:w="522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基线、概率校准、滚动回测；候选通过门槛再注册。</w:t>
            </w:r>
          </w:p>
        </w:tc>
      </w:tr>
      <w:tr>
        <w:trPr>
          <w:cantSplit/>
        </w:trPr>
        <w:tc>
          <w:tcPr>
            <w:tcW w:type="dxa" w:w="144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日志与监控</w:t>
            </w:r>
          </w:p>
        </w:tc>
        <w:tc>
          <w:tcPr>
            <w:tcW w:type="dxa" w:w="288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结构化日志＋指标服务</w:t>
            </w:r>
          </w:p>
        </w:tc>
        <w:tc>
          <w:tcPr>
            <w:tcW w:type="dxa" w:w="5227"/>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追踪来源延迟、数据质量、推理与业务效果；日志脱敏。</w:t>
            </w:r>
          </w:p>
        </w:tc>
      </w:tr>
    </w:tbl>
    <w:p>
      <w:pPr>
        <w:spacing w:after="0"/>
      </w:pPr>
    </w:p>
    <w:p>
      <w:pPr>
        <w:pStyle w:val="Heading2"/>
      </w:pPr>
      <w:r>
        <w:t>部署拓扑与数据隔离</w:t>
      </w:r>
    </w:p>
    <w:p>
      <w:r>
        <w:t>测试环境与生产环境使用独立数据库、桶和密钥。生产包含API实例、后台worker、单一调度器、数据库、队列和对象存储。轻量试点可以同机容器运行，数据库备份必须异地保存；试点单机不满足高可用时明确记录停机风险。</w:t>
      </w:r>
    </w:p>
    <w:p>
      <w:r>
        <w:t>API只读取已提交预测。新模型先写候选版本，验证完成后原子切换active_model；旧预测不可覆盖。feature_snapshot_id与model_version组成复现链，人工更正以新版本写入。</w:t>
      </w:r>
    </w:p>
    <w:p>
      <w:r>
        <w:t>外部文本只能作为数据：若用语言模型提取事件，输出必须经过JSON结构校验及证据比对。模型无权发通知、访问密钥或修改评分配置；价格和活动日期低置信提取需人工复核。</w:t>
      </w:r>
    </w:p>
    <w:p>
      <w:r>
        <w:br w:type="page"/>
      </w:r>
    </w:p>
    <w:p>
      <w:pPr>
        <w:pStyle w:val="Heading1"/>
      </w:pPr>
      <w:r>
        <w:t>3 数据采集与质量控制</w:t>
      </w:r>
    </w:p>
    <w:p>
      <w:pPr>
        <w:pStyle w:val="Heading2"/>
      </w:pPr>
      <w:r>
        <w:t>来源准入与适配器协议</w:t>
      </w:r>
    </w:p>
    <w:p>
      <w:r>
        <w:t>source_registry保存source_id、数据所有者、授权依据、用途、到期日、允许保留期、频率、配额、费用、数据粒度和coverage_id。适配器接口fetch(cursor, since)返回records、next_cursor、source_time与quota_remaining；原始响应先落库再推进游标。</w:t>
      </w:r>
    </w:p>
    <w:p>
      <w:r>
        <w:t>人工CSV采用同一校验通道，必含指标单位、地域、覆盖口径、观测时间、录入时间、来源链接和录入者。人工回忆数据或今天截取的历史趋势不能伪装成过去实时可见的数据。</w:t>
      </w:r>
    </w:p>
    <w:tbl>
      <w:tblPr>
        <w:tblW w:type="auto" w:w="0"/>
        <w:tblLayout w:type="fixed"/>
        <w:tblLook w:firstColumn="1" w:firstRow="1" w:lastColumn="0" w:lastRow="0" w:noHBand="0" w:noVBand="1" w:val="04A0"/>
      </w:tblPr>
      <w:tblGrid>
        <w:gridCol w:w="1872"/>
        <w:gridCol w:w="3384"/>
        <w:gridCol w:w="4291"/>
      </w:tblGrid>
      <w:tr>
        <w:trPr>
          <w:cantSplit/>
          <w:tblHeader/>
        </w:trPr>
        <w:tc>
          <w:tcPr>
            <w:tcW w:type="dxa" w:w="1872"/>
            <w:vAlign w:val="center"/>
            <w:tcBorders>
              <w:top w:val="single" w:sz="4" w:color="D9D9D9"/>
              <w:left w:val="single" w:sz="4" w:color="D9D9D9"/>
              <w:bottom w:val="single" w:sz="4" w:color="D9D9D9"/>
              <w:right w:val="single" w:sz="4" w:color="D9D9D9"/>
            </w:tcBorders>
            <w:shd w:fill="E9EFF5"/>
            <w:tcMar>
              <w:top w:w="90" w:type="dxa"/>
              <w:left w:w="90" w:type="dxa"/>
              <w:bottom w:w="90" w:type="dxa"/>
              <w:right w:w="90" w:type="dxa"/>
            </w:tcMar>
          </w:tcPr>
          <w:p>
            <w:pPr>
              <w:spacing w:after="40" w:line="259" w:lineRule="auto"/>
            </w:pPr>
            <w:r>
              <w:rPr>
                <w:b/>
                <w:sz w:val="18"/>
              </w:rPr>
              <w:t>来源类型</w:t>
            </w:r>
          </w:p>
        </w:tc>
        <w:tc>
          <w:tcPr>
            <w:tcW w:type="dxa" w:w="3384"/>
            <w:vAlign w:val="center"/>
            <w:tcBorders>
              <w:top w:val="single" w:sz="4" w:color="D9D9D9"/>
              <w:left w:val="single" w:sz="4" w:color="D9D9D9"/>
              <w:bottom w:val="single" w:sz="4" w:color="D9D9D9"/>
              <w:right w:val="single" w:sz="4" w:color="D9D9D9"/>
            </w:tcBorders>
            <w:shd w:fill="E9EFF5"/>
            <w:tcMar>
              <w:top w:w="90" w:type="dxa"/>
              <w:left w:w="90" w:type="dxa"/>
              <w:bottom w:w="90" w:type="dxa"/>
              <w:right w:w="90" w:type="dxa"/>
            </w:tcMar>
          </w:tcPr>
          <w:p>
            <w:pPr>
              <w:spacing w:after="40" w:line="259" w:lineRule="auto"/>
            </w:pPr>
            <w:r>
              <w:rPr>
                <w:b/>
                <w:sz w:val="18"/>
              </w:rPr>
              <w:t>默认执行频率</w:t>
            </w:r>
          </w:p>
        </w:tc>
        <w:tc>
          <w:tcPr>
            <w:tcW w:type="dxa" w:w="4291"/>
            <w:vAlign w:val="center"/>
            <w:tcBorders>
              <w:top w:val="single" w:sz="4" w:color="D9D9D9"/>
              <w:left w:val="single" w:sz="4" w:color="D9D9D9"/>
              <w:bottom w:val="single" w:sz="4" w:color="D9D9D9"/>
              <w:right w:val="single" w:sz="4" w:color="D9D9D9"/>
            </w:tcBorders>
            <w:shd w:fill="E9EFF5"/>
            <w:tcMar>
              <w:top w:w="90" w:type="dxa"/>
              <w:left w:w="90" w:type="dxa"/>
              <w:bottom w:w="90" w:type="dxa"/>
              <w:right w:w="90" w:type="dxa"/>
            </w:tcMar>
          </w:tcPr>
          <w:p>
            <w:pPr>
              <w:spacing w:after="40" w:line="259" w:lineRule="auto"/>
            </w:pPr>
            <w:r>
              <w:rPr>
                <w:b/>
                <w:sz w:val="18"/>
              </w:rPr>
              <w:t>质量与降级</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官方公告与活动</w:t>
            </w:r>
          </w:p>
        </w:tc>
        <w:tc>
          <w:tcPr>
            <w:tcW w:type="dxa" w:w="33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每6小时或每日人工两次</w:t>
            </w:r>
          </w:p>
        </w:tc>
        <w:tc>
          <w:tcPr>
            <w:tcW w:type="dxa" w:w="42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核对产品、地域、活动起止与优惠门槛；无证据则待核验。</w:t>
            </w:r>
          </w:p>
        </w:tc>
      </w:tr>
      <w:tr>
        <w:trPr>
          <w:cantSplit/>
        </w:trPr>
        <w:tc>
          <w:tcPr>
            <w:tcW w:type="dxa" w:w="1872"/>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主平台需求与内容</w:t>
            </w:r>
          </w:p>
        </w:tc>
        <w:tc>
          <w:tcPr>
            <w:tcW w:type="dxa" w:w="3384"/>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授权小时数据每小时；日级每日</w:t>
            </w:r>
          </w:p>
        </w:tc>
        <w:tc>
          <w:tcPr>
            <w:tcW w:type="dxa" w:w="4291"/>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小时源新鲜度SLA为6小时，日级为36小时；日级不能生成6小时特征。</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外平台趋势</w:t>
            </w:r>
          </w:p>
        </w:tc>
        <w:tc>
          <w:tcPr>
            <w:tcW w:type="dxa" w:w="33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按许可每天或每6小时</w:t>
            </w:r>
          </w:p>
        </w:tc>
        <w:tc>
          <w:tcPr>
            <w:tcW w:type="dxa" w:w="42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分平台标准化，不直接加总不同指数。</w:t>
            </w:r>
          </w:p>
        </w:tc>
      </w:tr>
      <w:tr>
        <w:trPr>
          <w:cantSplit/>
        </w:trPr>
        <w:tc>
          <w:tcPr>
            <w:tcW w:type="dxa" w:w="1872"/>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天气预报</w:t>
            </w:r>
          </w:p>
        </w:tc>
        <w:tc>
          <w:tcPr>
            <w:tcW w:type="dxa" w:w="3384"/>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每6小时</w:t>
            </w:r>
          </w:p>
        </w:tc>
        <w:tc>
          <w:tcPr>
            <w:tcW w:type="dxa" w:w="4291"/>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保存issued_at和valid_time；超过12小时标记缺失。</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节假日与品牌字典</w:t>
            </w:r>
          </w:p>
        </w:tc>
        <w:tc>
          <w:tcPr>
            <w:tcW w:type="dxa" w:w="33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年度核验及按变更更新</w:t>
            </w:r>
          </w:p>
        </w:tc>
        <w:tc>
          <w:tcPr>
            <w:tcW w:type="dxa" w:w="42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保留生效日期和版本，不用未来补充别名追写旧特征。</w:t>
            </w:r>
          </w:p>
        </w:tc>
      </w:tr>
    </w:tbl>
    <w:p>
      <w:pPr>
        <w:spacing w:after="0"/>
      </w:pPr>
    </w:p>
    <w:p>
      <w:r>
        <w:t>统一清洗：Unicode与空格标准化、品牌别名匹配、城市编码、币种和时间校验；不合并同名不同品牌。事件去重候选使用品牌、产品、活动类型、地域和重叠日期，再由运营确认。内容去重优先平台content_id，摘要指纹仅辅助判断搬运。</w:t>
      </w:r>
    </w:p>
    <w:p>
      <w:r>
        <w:t>采集覆盖按固定关键词、固定分页深度、固定时间范围记录；搜索前N条属于排名样本，不是全量新增视频数。覆盖方法变化创建新coverage_id，停止跨口径增长计算。</w:t>
      </w:r>
    </w:p>
    <w:p>
      <w:r>
        <w:t>数值必须非负，累计计数下降需标记修订而非负增长；价格必须说明可获得条件。异常峰值保留原值和异常标记，不直接删除真实爆点。连续3次失败熔断并告警，禁止绕过登录、验证码或限频。</w:t>
      </w:r>
    </w:p>
    <w:p>
      <w:r>
        <w:br w:type="page"/>
      </w:r>
    </w:p>
    <w:p>
      <w:pPr>
        <w:pStyle w:val="Heading1"/>
      </w:pPr>
      <w:r>
        <w:t>4 核心数据模型</w:t>
      </w:r>
    </w:p>
    <w:tbl>
      <w:tblPr>
        <w:tblW w:type="auto" w:w="0"/>
        <w:tblLayout w:type="fixed"/>
        <w:tblLook w:firstColumn="1" w:firstRow="1" w:lastColumn="0" w:lastRow="0" w:noHBand="0" w:noVBand="1" w:val="04A0"/>
      </w:tblPr>
      <w:tblGrid>
        <w:gridCol w:w="2189"/>
        <w:gridCol w:w="3859"/>
        <w:gridCol w:w="3499"/>
      </w:tblGrid>
      <w:tr>
        <w:trPr>
          <w:cantSplit/>
          <w:tblHeader/>
        </w:trPr>
        <w:tc>
          <w:tcPr>
            <w:tcW w:type="dxa" w:w="2189"/>
            <w:vAlign w:val="center"/>
            <w:tcBorders>
              <w:top w:val="single" w:sz="4" w:color="D9D9D9"/>
              <w:left w:val="single" w:sz="4" w:color="D9D9D9"/>
              <w:bottom w:val="single" w:sz="4" w:color="D9D9D9"/>
              <w:right w:val="single" w:sz="4" w:color="D9D9D9"/>
            </w:tcBorders>
            <w:shd w:fill="E9EFF5"/>
            <w:tcMar>
              <w:top w:w="90" w:type="dxa"/>
              <w:left w:w="90" w:type="dxa"/>
              <w:bottom w:w="90" w:type="dxa"/>
              <w:right w:w="90" w:type="dxa"/>
            </w:tcMar>
          </w:tcPr>
          <w:p>
            <w:pPr>
              <w:spacing w:after="40" w:line="259" w:lineRule="auto"/>
            </w:pPr>
            <w:r>
              <w:rPr>
                <w:b/>
                <w:sz w:val="18"/>
              </w:rPr>
              <w:t>实体与主键</w:t>
            </w:r>
          </w:p>
        </w:tc>
        <w:tc>
          <w:tcPr>
            <w:tcW w:type="dxa" w:w="3859"/>
            <w:vAlign w:val="center"/>
            <w:tcBorders>
              <w:top w:val="single" w:sz="4" w:color="D9D9D9"/>
              <w:left w:val="single" w:sz="4" w:color="D9D9D9"/>
              <w:bottom w:val="single" w:sz="4" w:color="D9D9D9"/>
              <w:right w:val="single" w:sz="4" w:color="D9D9D9"/>
            </w:tcBorders>
            <w:shd w:fill="E9EFF5"/>
            <w:tcMar>
              <w:top w:w="90" w:type="dxa"/>
              <w:left w:w="90" w:type="dxa"/>
              <w:bottom w:w="90" w:type="dxa"/>
              <w:right w:w="90" w:type="dxa"/>
            </w:tcMar>
          </w:tcPr>
          <w:p>
            <w:pPr>
              <w:spacing w:after="40" w:line="259" w:lineRule="auto"/>
            </w:pPr>
            <w:r>
              <w:rPr>
                <w:b/>
                <w:sz w:val="18"/>
              </w:rPr>
              <w:t>主要字段</w:t>
            </w:r>
          </w:p>
        </w:tc>
        <w:tc>
          <w:tcPr>
            <w:tcW w:type="dxa" w:w="3499"/>
            <w:vAlign w:val="center"/>
            <w:tcBorders>
              <w:top w:val="single" w:sz="4" w:color="D9D9D9"/>
              <w:left w:val="single" w:sz="4" w:color="D9D9D9"/>
              <w:bottom w:val="single" w:sz="4" w:color="D9D9D9"/>
              <w:right w:val="single" w:sz="4" w:color="D9D9D9"/>
            </w:tcBorders>
            <w:shd w:fill="E9EFF5"/>
            <w:tcMar>
              <w:top w:w="90" w:type="dxa"/>
              <w:left w:w="90" w:type="dxa"/>
              <w:bottom w:w="90" w:type="dxa"/>
              <w:right w:w="90" w:type="dxa"/>
            </w:tcMar>
          </w:tcPr>
          <w:p>
            <w:pPr>
              <w:spacing w:after="40" w:line="259" w:lineRule="auto"/>
            </w:pPr>
            <w:r>
              <w:rPr>
                <w:b/>
                <w:sz w:val="18"/>
              </w:rPr>
              <w:t>关系与约束</w:t>
            </w:r>
          </w:p>
        </w:tc>
      </w:tr>
      <w:tr>
        <w:trPr>
          <w:cantSplit/>
        </w:trPr>
        <w:tc>
          <w:tcPr>
            <w:tcW w:type="dxa" w:w="218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brand / brand_id</w:t>
            </w:r>
          </w:p>
        </w:tc>
        <w:tc>
          <w:tcPr>
            <w:tcW w:type="dxa" w:w="385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name、aliases、category、valid_from</w:t>
            </w:r>
          </w:p>
        </w:tc>
        <w:tc>
          <w:tcPr>
            <w:tcW w:type="dxa" w:w="349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别名有版本；同名冲突不自动合并。</w:t>
            </w:r>
          </w:p>
        </w:tc>
      </w:tr>
      <w:tr>
        <w:trPr>
          <w:cantSplit/>
        </w:trPr>
        <w:tc>
          <w:tcPr>
            <w:tcW w:type="dxa" w:w="2189"/>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event / event_id</w:t>
            </w:r>
          </w:p>
        </w:tc>
        <w:tc>
          <w:tcPr>
            <w:tcW w:type="dxa" w:w="3859"/>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brand_id、product、type、region、start_at、end_at、status</w:t>
            </w:r>
          </w:p>
        </w:tc>
        <w:tc>
          <w:tcPr>
            <w:tcW w:type="dxa" w:w="3499"/>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合并映射独立保存；地域为预测维度。</w:t>
            </w:r>
          </w:p>
        </w:tc>
      </w:tr>
      <w:tr>
        <w:trPr>
          <w:cantSplit/>
        </w:trPr>
        <w:tc>
          <w:tcPr>
            <w:tcW w:type="dxa" w:w="218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evidence / evidence_id</w:t>
            </w:r>
          </w:p>
        </w:tc>
        <w:tc>
          <w:tcPr>
            <w:tcW w:type="dxa" w:w="385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source_id、url、hash、published_at、observed_at、available_at、rights_expiry</w:t>
            </w:r>
          </w:p>
        </w:tc>
        <w:tc>
          <w:tcPr>
            <w:tcW w:type="dxa" w:w="349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对象内容按许可保留；hash用于完整性校验。</w:t>
            </w:r>
          </w:p>
        </w:tc>
      </w:tr>
      <w:tr>
        <w:trPr>
          <w:cantSplit/>
        </w:trPr>
        <w:tc>
          <w:tcPr>
            <w:tcW w:type="dxa" w:w="2189"/>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observation / obs_id</w:t>
            </w:r>
          </w:p>
        </w:tc>
        <w:tc>
          <w:tcPr>
            <w:tcW w:type="dxa" w:w="3859"/>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event_id、metric、value、unit、window_start/end、platform、coverage_id</w:t>
            </w:r>
          </w:p>
        </w:tc>
        <w:tc>
          <w:tcPr>
            <w:tcW w:type="dxa" w:w="3499"/>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追加式修订；唯一键含来源、实体、指标、窗口和修订版。</w:t>
            </w:r>
          </w:p>
        </w:tc>
      </w:tr>
      <w:tr>
        <w:trPr>
          <w:cantSplit/>
        </w:trPr>
        <w:tc>
          <w:tcPr>
            <w:tcW w:type="dxa" w:w="218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feature_snapshot / fs_id</w:t>
            </w:r>
          </w:p>
        </w:tc>
        <w:tc>
          <w:tcPr>
            <w:tcW w:type="dxa" w:w="385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event_id、region、as_of、features、missing_mask、quality、feature_version</w:t>
            </w:r>
          </w:p>
        </w:tc>
        <w:tc>
          <w:tcPr>
            <w:tcW w:type="dxa" w:w="349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特征版本和输入obs_id清单不可变。</w:t>
            </w:r>
          </w:p>
        </w:tc>
      </w:tr>
      <w:tr>
        <w:trPr>
          <w:cantSplit/>
        </w:trPr>
        <w:tc>
          <w:tcPr>
            <w:tcW w:type="dxa" w:w="2189"/>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prediction / prediction_id</w:t>
            </w:r>
          </w:p>
        </w:tc>
        <w:tc>
          <w:tcPr>
            <w:tcW w:type="dxa" w:w="3859"/>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fs_id、p72、S0、S、s、R、model_version、calibrator_version、expires_at</w:t>
            </w:r>
          </w:p>
        </w:tc>
        <w:tc>
          <w:tcPr>
            <w:tcW w:type="dxa" w:w="3499"/>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同一fs_id与模型版本唯一；p72可空。</w:t>
            </w:r>
          </w:p>
        </w:tc>
      </w:tr>
      <w:tr>
        <w:trPr>
          <w:cantSplit/>
        </w:trPr>
        <w:tc>
          <w:tcPr>
            <w:tcW w:type="dxa" w:w="218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label / label_id</w:t>
            </w:r>
          </w:p>
        </w:tc>
        <w:tc>
          <w:tcPr>
            <w:tcW w:type="dxa" w:w="385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event_id、as_of、value、burst_at、mature_at、label_version、coverage_id</w:t>
            </w:r>
          </w:p>
        </w:tc>
        <w:tc>
          <w:tcPr>
            <w:tcW w:type="dxa" w:w="349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value为0、1或unknown；记录unknown原因。</w:t>
            </w:r>
          </w:p>
        </w:tc>
      </w:tr>
      <w:tr>
        <w:trPr>
          <w:cantSplit/>
        </w:trPr>
        <w:tc>
          <w:tcPr>
            <w:tcW w:type="dxa" w:w="2189"/>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model_registry / version</w:t>
            </w:r>
          </w:p>
        </w:tc>
        <w:tc>
          <w:tcPr>
            <w:tcW w:type="dxa" w:w="3859"/>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artifact_uri、data_manifest、metrics、status、checksum</w:t>
            </w:r>
          </w:p>
        </w:tc>
        <w:tc>
          <w:tcPr>
            <w:tcW w:type="dxa" w:w="3499"/>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training、shadow、active、retired状态转换审计。</w:t>
            </w:r>
          </w:p>
        </w:tc>
      </w:tr>
      <w:tr>
        <w:trPr>
          <w:cantSplit/>
        </w:trPr>
        <w:tc>
          <w:tcPr>
            <w:tcW w:type="dxa" w:w="218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alert / alert_id</w:t>
            </w:r>
          </w:p>
        </w:tc>
        <w:tc>
          <w:tcPr>
            <w:tcW w:type="dxa" w:w="385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user_id、prediction_id、rule_version、idempotency_key、status</w:t>
            </w:r>
          </w:p>
        </w:tc>
        <w:tc>
          <w:tcPr>
            <w:tcW w:type="dxa" w:w="349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去重键唯一；状态与发送回执分开。</w:t>
            </w:r>
          </w:p>
        </w:tc>
      </w:tr>
      <w:tr>
        <w:trPr>
          <w:cantSplit/>
        </w:trPr>
        <w:tc>
          <w:tcPr>
            <w:tcW w:type="dxa" w:w="2189"/>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feedback / feedback_id</w:t>
            </w:r>
          </w:p>
        </w:tc>
        <w:tc>
          <w:tcPr>
            <w:tcW w:type="dxa" w:w="3859"/>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user_id、event_id、action、reason、published_url</w:t>
            </w:r>
          </w:p>
        </w:tc>
        <w:tc>
          <w:tcPr>
            <w:tcW w:type="dxa" w:w="3499"/>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用户级访问控制；视频结果仅授权读取。</w:t>
            </w:r>
          </w:p>
        </w:tc>
      </w:tr>
    </w:tbl>
    <w:p>
      <w:pPr>
        <w:spacing w:after="0"/>
      </w:pPr>
    </w:p>
    <w:p>
      <w:pPr>
        <w:pStyle w:val="Heading2"/>
      </w:pPr>
      <w:r>
        <w:t>时间字段必须区分</w:t>
      </w:r>
    </w:p>
    <w:p>
      <w:r>
        <w:t>published_at为来源发布时间；observed_at为观测发生时间；available_at为本系统首次实际可用时间；ingested_at为本次落库时间；as_of为预测时点。特征读取必须available_at≤as_of且观测窗口结束≤as_of。天气预报例外是valid_time可在未来，但issued_at与available_at均不得晚于as_of。</w:t>
      </w:r>
    </w:p>
    <w:p>
      <w:r>
        <w:t>数据库时间为带时区时间戳并统一UTC。对来源修订追加新行，保留supersedes_id；回测按当时可用版本选择，不能用今天修订的热度改写昨天模型输入。</w:t>
      </w:r>
    </w:p>
    <w:p>
      <w:r>
        <w:br w:type="page"/>
      </w:r>
    </w:p>
    <w:p>
      <w:pPr>
        <w:pStyle w:val="Heading1"/>
      </w:pPr>
      <w:r>
        <w:t>5 字段类型与数据契约</w:t>
      </w:r>
    </w:p>
    <w:tbl>
      <w:tblPr>
        <w:tblW w:type="auto" w:w="0"/>
        <w:tblLayout w:type="fixed"/>
        <w:tblLook w:firstColumn="1" w:firstRow="1" w:lastColumn="0" w:lastRow="0" w:noHBand="0" w:noVBand="1" w:val="04A0"/>
      </w:tblPr>
      <w:tblGrid>
        <w:gridCol w:w="2880"/>
        <w:gridCol w:w="2880"/>
        <w:gridCol w:w="3787"/>
      </w:tblGrid>
      <w:tr>
        <w:trPr>
          <w:cantSplit/>
          <w:tblHeader/>
        </w:trPr>
        <w:tc>
          <w:tcPr>
            <w:tcW w:type="dxa" w:w="2880"/>
            <w:vAlign w:val="center"/>
            <w:tcBorders>
              <w:top w:val="single" w:sz="4" w:color="D9D9D9"/>
              <w:left w:val="single" w:sz="4" w:color="D9D9D9"/>
              <w:bottom w:val="single" w:sz="4" w:color="D9D9D9"/>
              <w:right w:val="single" w:sz="4" w:color="D9D9D9"/>
            </w:tcBorders>
            <w:shd w:fill="E9EFF5"/>
            <w:tcMar>
              <w:top w:w="90" w:type="dxa"/>
              <w:left w:w="90" w:type="dxa"/>
              <w:bottom w:w="90" w:type="dxa"/>
              <w:right w:w="90" w:type="dxa"/>
            </w:tcMar>
          </w:tcPr>
          <w:p>
            <w:pPr>
              <w:spacing w:after="40" w:line="259" w:lineRule="auto"/>
            </w:pPr>
            <w:r>
              <w:rPr>
                <w:b/>
                <w:sz w:val="18"/>
              </w:rPr>
              <w:t>字段</w:t>
            </w:r>
          </w:p>
        </w:tc>
        <w:tc>
          <w:tcPr>
            <w:tcW w:type="dxa" w:w="2880"/>
            <w:vAlign w:val="center"/>
            <w:tcBorders>
              <w:top w:val="single" w:sz="4" w:color="D9D9D9"/>
              <w:left w:val="single" w:sz="4" w:color="D9D9D9"/>
              <w:bottom w:val="single" w:sz="4" w:color="D9D9D9"/>
              <w:right w:val="single" w:sz="4" w:color="D9D9D9"/>
            </w:tcBorders>
            <w:shd w:fill="E9EFF5"/>
            <w:tcMar>
              <w:top w:w="90" w:type="dxa"/>
              <w:left w:w="90" w:type="dxa"/>
              <w:bottom w:w="90" w:type="dxa"/>
              <w:right w:w="90" w:type="dxa"/>
            </w:tcMar>
          </w:tcPr>
          <w:p>
            <w:pPr>
              <w:spacing w:after="40" w:line="259" w:lineRule="auto"/>
            </w:pPr>
            <w:r>
              <w:rPr>
                <w:b/>
                <w:sz w:val="18"/>
              </w:rPr>
              <w:t>类型与单位</w:t>
            </w:r>
          </w:p>
        </w:tc>
        <w:tc>
          <w:tcPr>
            <w:tcW w:type="dxa" w:w="3787"/>
            <w:vAlign w:val="center"/>
            <w:tcBorders>
              <w:top w:val="single" w:sz="4" w:color="D9D9D9"/>
              <w:left w:val="single" w:sz="4" w:color="D9D9D9"/>
              <w:bottom w:val="single" w:sz="4" w:color="D9D9D9"/>
              <w:right w:val="single" w:sz="4" w:color="D9D9D9"/>
            </w:tcBorders>
            <w:shd w:fill="E9EFF5"/>
            <w:tcMar>
              <w:top w:w="90" w:type="dxa"/>
              <w:left w:w="90" w:type="dxa"/>
              <w:bottom w:w="90" w:type="dxa"/>
              <w:right w:w="90" w:type="dxa"/>
            </w:tcMar>
          </w:tcPr>
          <w:p>
            <w:pPr>
              <w:spacing w:after="40" w:line="259" w:lineRule="auto"/>
            </w:pPr>
            <w:r>
              <w:rPr>
                <w:b/>
                <w:sz w:val="18"/>
              </w:rPr>
              <w:t>缺失和验证规则</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event_id / region_code</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UUID / string</w:t>
            </w:r>
          </w:p>
        </w:tc>
        <w:tc>
          <w:tcPr>
            <w:tcW w:type="dxa" w:w="378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必填；全国ALL与城市编码不可混算。</w:t>
            </w:r>
          </w:p>
        </w:tc>
      </w:tr>
      <w:tr>
        <w:trPr>
          <w:cantSplit/>
        </w:trPr>
        <w:tc>
          <w:tcPr>
            <w:tcW w:type="dxa" w:w="288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as_of / expires_at</w:t>
            </w:r>
          </w:p>
        </w:tc>
        <w:tc>
          <w:tcPr>
            <w:tcW w:type="dxa" w:w="288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timestamptz</w:t>
            </w:r>
          </w:p>
        </w:tc>
        <w:tc>
          <w:tcPr>
            <w:tcW w:type="dxa" w:w="3787"/>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后者=as_of+72小时；秒级存储。</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demand_6h / demand_24h</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float ≥ 0，平台指数或计数</w:t>
            </w:r>
          </w:p>
        </w:tc>
        <w:tc>
          <w:tcPr>
            <w:tcW w:type="dxa" w:w="378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unit必须明确；指数按供应方窗口定义，不随意求和。</w:t>
            </w:r>
          </w:p>
        </w:tc>
      </w:tr>
      <w:tr>
        <w:trPr>
          <w:cantSplit/>
        </w:trPr>
        <w:tc>
          <w:tcPr>
            <w:tcW w:type="dxa" w:w="288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video_count_24h / creator_count_24h</w:t>
            </w:r>
          </w:p>
        </w:tc>
        <w:tc>
          <w:tcPr>
            <w:tcW w:type="dxa" w:w="288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int ≥ 0，条／人</w:t>
            </w:r>
          </w:p>
        </w:tc>
        <w:tc>
          <w:tcPr>
            <w:tcW w:type="dxa" w:w="3787"/>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必须同coverage_id；缺失用null，不用0。</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hit_video_count_24h</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int ≥ 0，条</w:t>
            </w:r>
          </w:p>
        </w:tc>
        <w:tc>
          <w:tcPr>
            <w:tcW w:type="dxa" w:w="378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符合固定爆款内容口径；缺指标不可自动判为0。</w:t>
            </w:r>
          </w:p>
        </w:tc>
      </w:tr>
      <w:tr>
        <w:trPr>
          <w:cantSplit/>
        </w:trPr>
        <w:tc>
          <w:tcPr>
            <w:tcW w:type="dxa" w:w="288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regular_price / effective_price</w:t>
            </w:r>
          </w:p>
        </w:tc>
        <w:tc>
          <w:tcPr>
            <w:tcW w:type="dxa" w:w="288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decimal(10,2)，元</w:t>
            </w:r>
          </w:p>
        </w:tc>
        <w:tc>
          <w:tcPr>
            <w:tcW w:type="dxa" w:w="3787"/>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原价可信且&gt;0才算折扣；个性化价格另标记。</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coverage_ratio / convenience</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float [0,1]</w:t>
            </w:r>
          </w:p>
        </w:tc>
        <w:tc>
          <w:tcPr>
            <w:tcW w:type="dxa" w:w="378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目标城市适用门店比例／量表分；无分母则null。</w:t>
            </w:r>
          </w:p>
        </w:tc>
      </w:tr>
      <w:tr>
        <w:trPr>
          <w:cantSplit/>
        </w:trPr>
        <w:tc>
          <w:tcPr>
            <w:tcW w:type="dxa" w:w="288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forecast_temperature / rain_prob</w:t>
            </w:r>
          </w:p>
        </w:tc>
        <w:tc>
          <w:tcPr>
            <w:tcW w:type="dxa" w:w="288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float，摄氏度／[0,1]</w:t>
            </w:r>
          </w:p>
        </w:tc>
        <w:tc>
          <w:tcPr>
            <w:tcW w:type="dxa" w:w="3787"/>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需城市、预报发布时间及有效小时。</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A 至 H / S0 / S</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float [0,100]，分</w:t>
            </w:r>
          </w:p>
        </w:tc>
        <w:tc>
          <w:tcPr>
            <w:tcW w:type="dxa" w:w="378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特征版本固定；缺失填补与掩码同时保存。</w:t>
            </w:r>
          </w:p>
        </w:tc>
      </w:tr>
      <w:tr>
        <w:trPr>
          <w:cantSplit/>
        </w:trPr>
        <w:tc>
          <w:tcPr>
            <w:tcW w:type="dxa" w:w="288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p72 / saturation</w:t>
            </w:r>
          </w:p>
        </w:tc>
        <w:tc>
          <w:tcPr>
            <w:tcW w:type="dxa" w:w="288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float [0,1]</w:t>
            </w:r>
          </w:p>
        </w:tc>
        <w:tc>
          <w:tcPr>
            <w:tcW w:type="dxa" w:w="3787"/>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p72未校准或不合格为null；s无可用模型则null。</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headstart_index</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float [0,100]，分</w:t>
            </w:r>
          </w:p>
        </w:tc>
        <w:tc>
          <w:tcPr>
            <w:tcW w:type="dxa" w:w="378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R=100p72(1−s)；依赖为空时返回null。</w:t>
            </w:r>
          </w:p>
        </w:tc>
      </w:tr>
      <w:tr>
        <w:trPr>
          <w:cantSplit/>
        </w:trPr>
        <w:tc>
          <w:tcPr>
            <w:tcW w:type="dxa" w:w="288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quality_coverage / status</w:t>
            </w:r>
          </w:p>
        </w:tc>
        <w:tc>
          <w:tcPr>
            <w:tcW w:type="dxa" w:w="288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float [0,1] / enum</w:t>
            </w:r>
          </w:p>
        </w:tc>
        <w:tc>
          <w:tcPr>
            <w:tcW w:type="dxa" w:w="3787"/>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ok、partial、stale、insufficient、uncalibrated。</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label / burst_at</w:t>
            </w:r>
          </w:p>
        </w:tc>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enum / timestamptz可空</w:t>
            </w:r>
          </w:p>
        </w:tc>
        <w:tc>
          <w:tcPr>
            <w:tcW w:type="dxa" w:w="378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0、1、unknown；1必须存在确认爆发时间。</w:t>
            </w:r>
          </w:p>
        </w:tc>
      </w:tr>
    </w:tbl>
    <w:p>
      <w:pPr>
        <w:spacing w:after="0"/>
      </w:pPr>
    </w:p>
    <w:p>
      <w:r>
        <w:t>索引：observation按月份分区，复合索引(event_id, metric, window_end, available_at)；prediction索引(region_code, as_of, R)；活动表按status和end_at筛选；alert的idempotency_key唯一。查询不扫描原始对象文件。</w:t>
      </w:r>
    </w:p>
    <w:p>
      <w:r>
        <w:t>原始文本和JSON进入对象存储；结构化常查字段进入数据库。数值计算使用未舍入值，界面概率显示整数百分比、抢跑指数显示1位小数；API传原精度，避免往返舍入影响告警阈值。</w:t>
      </w:r>
    </w:p>
    <w:p>
      <w:r>
        <w:br w:type="page"/>
      </w:r>
    </w:p>
    <w:p>
      <w:pPr>
        <w:pStyle w:val="Heading1"/>
      </w:pPr>
      <w:r>
        <w:t>6 特征工程与评分细则</w:t>
      </w:r>
    </w:p>
    <w:p>
      <w:r>
        <w:t>统一记F(x)为训练参考集中同品类、平台、地域、coverage_id的经验分布值，范围0—1。参考分布只使用训练数据并冻结；分组不足100条时回退同平台品类，再不足则缺失。窗口长度必须相同。</w:t>
      </w:r>
    </w:p>
    <w:p>
      <w:r>
        <w:t>A：对连续6小时需求d0、d1、d2，g0=ln((d0+ε)/(d1+ε))，g1=ln((d1+ε)/(d2+ε))，a=g0−g1；A=100F(a)。ε取该指标正值训练中位数的1%，至少10⁻⁶，保存到版本。仅有日数据时启用日级特征版本，禁止插值伪造加速度。</w:t>
      </w:r>
    </w:p>
    <w:p>
      <w:r>
        <w:t>B：需求和内容各计算当前24小时相对前24小时的对数增长gD与gV；B=50×[1+F(gD)−F(gV)]。C=100×[0.7F(独立作者24小时增长)+0.3F(有效城市数)]；单城模型用城市内门店或区域数的独立版本。</w:t>
      </w:r>
    </w:p>
    <w:p>
      <w:r>
        <w:t>D=100×(0.5d+0.3c+0.2u)。d=clip(1−到手价/可信原价,0,1)，c为目标地域可参与门店比例，u无门槛1、会员免费领0.8、新客0.5、前100名0.2、多项取最小。可信原价缺失则D缺失，不用虚高划线价。</w:t>
      </w:r>
    </w:p>
    <w:p>
      <w:r>
        <w:t>E=新品等级与视觉素材等级的等权均值。新品等级：无新品0、普通口味30、季节新品45、明确IP联名70；视觉等级：无证据0、常规包装30、明显造型60、独特且可拍素材90。运营按证据标注，不由模型自由编造。</w:t>
      </w:r>
    </w:p>
    <w:p>
      <w:r>
        <w:t>F：至少2个独立平台可用时，F=100×正增长且超过各自历史75分位的平台数/有效平台数；转载同源只记1个信号。G：默认50中性；适宜高温冷饮、降温热食或节日匹配各按预先登记规则加25，恶劣天气影响到店减25，最后clip到0—100；这只是试点规则，需做消融检验。</w:t>
      </w:r>
    </w:p>
    <w:p>
      <w:r>
        <w:t>H=100×(k+10π)/(n+10)，k和n为过去180天已成熟的正例及事件数，π为训练集同品类发生率；不纳入预测时点尚未成熟的事件。品牌未知回退π，并增加冷启动标记。</w:t>
      </w:r>
    </w:p>
    <w:p>
      <w:r>
        <w:t>头部爆款内容定义：采用授权可得的发布后固定24小时播放量达到同品类训练95分位，且点赞≥1000；该阈值为试点初值。播放量不可得时另建仅互动口径版本，不能混算。s=0.6F(V24)+0.4F(hit24)，S=clip(S0−20s,0,100)。</w:t>
      </w:r>
    </w:p>
    <w:p>
      <w:r>
        <w:t>所有缺失因子以训练中位数填补并带missing_mask。质量覆盖是有效原始因子权重之和；核心需求、内容、地域或s不可用时，无论覆盖率多少均停止正式R和机会告警。</w:t>
      </w:r>
    </w:p>
    <w:p>
      <w:r>
        <w:br w:type="page"/>
      </w:r>
    </w:p>
    <w:p>
      <w:pPr>
        <w:pStyle w:val="Heading1"/>
      </w:pPr>
      <w:r>
        <w:t>7 标签生成与模型训练</w:t>
      </w:r>
    </w:p>
    <w:p>
      <w:r>
        <w:t>标签L1完全沿用PRD：以预测时点之前28天品牌需求中位数b为固定基线（至少14有效日），对未来6小时网格的滚动24小时需求D，要求D≥max(3b,q90)、V≥20、U≥10，连续两网格满足后确认；确认时间需在(t,t+72小时]。q90来自冻结参考期。</w:t>
      </w:r>
    </w:p>
    <w:p>
      <w:r>
        <w:t>每日标签任务在t+72小时+24小时迟到宽限后执行。缺失未来窗口时写unknown并等待补齐，超过7天进入人工检查；有新合法数据以新标签版本修订，历史报告保留旧版本。标签来源可以晚到，特征来源不能晚于预测时点。</w:t>
      </w:r>
    </w:p>
    <w:p>
      <w:pPr>
        <w:pStyle w:val="Heading2"/>
      </w:pPr>
      <w:r>
        <w:t>训练样本和时间切分</w:t>
      </w:r>
    </w:p>
    <w:p>
      <w:r>
        <w:t>每个事件每天08:00产生一个固定时点训练样本，直到首次爆发、活动结束或下架。同一事件多快照总权重为1；训练、校准、测试按事件首次观测时间归属，同一事件不得跨集合，跨边界事件剔除。</w:t>
      </w:r>
    </w:p>
    <w:p>
      <w:r>
        <w:t>有180天数据时示例：前90天训练，隔离3天，接着27天校准，隔离3天，余57天测试；删除各段末尾未来72小时标签越界样本，测试尾部只用已成熟标签。滚动多折评估，另设品牌留出集测试冷启动。</w:t>
      </w:r>
    </w:p>
    <w:p>
      <w:r>
        <w:t>训练集拟合缺失填补、标准化和分位数，验证与测试不参与。保留自然正例比例；若重采样或类权重训练，校准必须使用自然分布的独立样本。缺乏历史当时可见快照，改为前瞻影子测试。</w:t>
      </w:r>
    </w:p>
    <w:p>
      <w:pPr>
        <w:pStyle w:val="Heading2"/>
      </w:pPr>
      <w:r>
        <w:t>模型与校准</w:t>
      </w:r>
    </w:p>
    <w:p>
      <w:r>
        <w:t>M0为品类发生率；M1为S0的逻辑回归；M2为八因子、增长、饱和度及缺失标记的逻辑回归或梯度提升树。只有M2在独立测试胜过M1才升级。概率层不使用扣分后的S作为必选输入，饱和度影响由数据学习。</w:t>
      </w:r>
    </w:p>
    <w:p>
      <w:r>
        <w:t>校准优先Platt，样本充足后比较保序回归；在校准集内选择，测试集只作最终评估。发布门槛与PRD一致：1000独立事件、150正例，测试至少200事件和30正例，Brier优于基线、ECE≤0.08、Top 5相对提升≥20%，改善需有事件簇自助法区间支持。</w:t>
      </w:r>
    </w:p>
    <w:p>
      <w:r>
        <w:t>记录PR-AUC、Brier、ECE、每天Top 5精确率、事件召回率、提前量及城市分组指标。一天不足5条按实际推荐条数算精确率，并另报覆盖率。置信区间反映同类预测组统计不确定性，不伪称单事件必然区间。</w:t>
      </w:r>
    </w:p>
    <w:p>
      <w:r>
        <w:br w:type="page"/>
      </w:r>
    </w:p>
    <w:p>
      <w:pPr>
        <w:pStyle w:val="Heading1"/>
      </w:pPr>
      <w:r>
        <w:t>8 在线推理与API协议</w:t>
      </w:r>
    </w:p>
    <w:p>
      <w:r>
        <w:t>推理步骤：检查活动与地域 → 选择as_of可见观测 → 生成不可变特征快照 → 检查质量 → 计算S0及S → 加载active模型和校准器 → 计算p72与R → 写入预测 → 评估告警。失效预测仍可查看，但不得作为当前推荐。</w:t>
      </w:r>
    </w:p>
    <w:tbl>
      <w:tblPr>
        <w:tblW w:type="auto" w:w="0"/>
        <w:tblLayout w:type="fixed"/>
        <w:tblLook w:firstColumn="1" w:firstRow="1" w:lastColumn="0" w:lastRow="0" w:noHBand="0" w:noVBand="1" w:val="04A0"/>
      </w:tblPr>
      <w:tblGrid>
        <w:gridCol w:w="3139"/>
        <w:gridCol w:w="2563"/>
        <w:gridCol w:w="3845"/>
      </w:tblGrid>
      <w:tr>
        <w:trPr>
          <w:cantSplit/>
          <w:tblHeader/>
        </w:trPr>
        <w:tc>
          <w:tcPr>
            <w:tcW w:type="dxa" w:w="3139"/>
            <w:vAlign w:val="center"/>
            <w:tcBorders>
              <w:top w:val="single" w:sz="4" w:color="D9D9D9"/>
              <w:left w:val="single" w:sz="4" w:color="D9D9D9"/>
              <w:bottom w:val="single" w:sz="4" w:color="D9D9D9"/>
              <w:right w:val="single" w:sz="4" w:color="D9D9D9"/>
            </w:tcBorders>
            <w:shd w:fill="E9EFF5"/>
            <w:tcMar>
              <w:top w:w="90" w:type="dxa"/>
              <w:left w:w="90" w:type="dxa"/>
              <w:bottom w:w="90" w:type="dxa"/>
              <w:right w:w="90" w:type="dxa"/>
            </w:tcMar>
          </w:tcPr>
          <w:p>
            <w:pPr>
              <w:spacing w:after="40" w:line="259" w:lineRule="auto"/>
            </w:pPr>
            <w:r>
              <w:rPr>
                <w:b/>
                <w:sz w:val="18"/>
              </w:rPr>
              <w:t>方法与路径</w:t>
            </w:r>
          </w:p>
        </w:tc>
        <w:tc>
          <w:tcPr>
            <w:tcW w:type="dxa" w:w="2563"/>
            <w:vAlign w:val="center"/>
            <w:tcBorders>
              <w:top w:val="single" w:sz="4" w:color="D9D9D9"/>
              <w:left w:val="single" w:sz="4" w:color="D9D9D9"/>
              <w:bottom w:val="single" w:sz="4" w:color="D9D9D9"/>
              <w:right w:val="single" w:sz="4" w:color="D9D9D9"/>
            </w:tcBorders>
            <w:shd w:fill="E9EFF5"/>
            <w:tcMar>
              <w:top w:w="90" w:type="dxa"/>
              <w:left w:w="90" w:type="dxa"/>
              <w:bottom w:w="90" w:type="dxa"/>
              <w:right w:w="90" w:type="dxa"/>
            </w:tcMar>
          </w:tcPr>
          <w:p>
            <w:pPr>
              <w:spacing w:after="40" w:line="259" w:lineRule="auto"/>
            </w:pPr>
            <w:r>
              <w:rPr>
                <w:b/>
                <w:sz w:val="18"/>
              </w:rPr>
              <w:t>输入</w:t>
            </w:r>
          </w:p>
        </w:tc>
        <w:tc>
          <w:tcPr>
            <w:tcW w:type="dxa" w:w="3845"/>
            <w:vAlign w:val="center"/>
            <w:tcBorders>
              <w:top w:val="single" w:sz="4" w:color="D9D9D9"/>
              <w:left w:val="single" w:sz="4" w:color="D9D9D9"/>
              <w:bottom w:val="single" w:sz="4" w:color="D9D9D9"/>
              <w:right w:val="single" w:sz="4" w:color="D9D9D9"/>
            </w:tcBorders>
            <w:shd w:fill="E9EFF5"/>
            <w:tcMar>
              <w:top w:w="90" w:type="dxa"/>
              <w:left w:w="90" w:type="dxa"/>
              <w:bottom w:w="90" w:type="dxa"/>
              <w:right w:w="90" w:type="dxa"/>
            </w:tcMar>
          </w:tcPr>
          <w:p>
            <w:pPr>
              <w:spacing w:after="40" w:line="259" w:lineRule="auto"/>
            </w:pPr>
            <w:r>
              <w:rPr>
                <w:b/>
                <w:sz w:val="18"/>
              </w:rPr>
              <w:t>输出与约束</w:t>
            </w:r>
          </w:p>
        </w:tc>
      </w:tr>
      <w:tr>
        <w:trPr>
          <w:cantSplit/>
        </w:trPr>
        <w:tc>
          <w:tcPr>
            <w:tcW w:type="dxa" w:w="313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GET /v1/opportunities</w:t>
            </w:r>
          </w:p>
        </w:tc>
        <w:tc>
          <w:tcPr>
            <w:tcW w:type="dxa" w:w="256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region、category、mode、cursor、limit≤100</w:t>
            </w:r>
          </w:p>
        </w:tc>
        <w:tc>
          <w:tcPr>
            <w:tcW w:type="dxa" w:w="384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items、next_cursor、data_as_of；默认R降序，再按p、event_id稳定排序。</w:t>
            </w:r>
          </w:p>
        </w:tc>
      </w:tr>
      <w:tr>
        <w:trPr>
          <w:cantSplit/>
        </w:trPr>
        <w:tc>
          <w:tcPr>
            <w:tcW w:type="dxa" w:w="3139"/>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GET /v1/events/{id}</w:t>
            </w:r>
          </w:p>
        </w:tc>
        <w:tc>
          <w:tcPr>
            <w:tcW w:type="dxa" w:w="2563"/>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可选as_of</w:t>
            </w:r>
          </w:p>
        </w:tc>
        <w:tc>
          <w:tcPr>
            <w:tcW w:type="dxa" w:w="3845"/>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事件、证据、趋势、因子、模型版本和质量状态。</w:t>
            </w:r>
          </w:p>
        </w:tc>
      </w:tr>
      <w:tr>
        <w:trPr>
          <w:cantSplit/>
        </w:trPr>
        <w:tc>
          <w:tcPr>
            <w:tcW w:type="dxa" w:w="313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POST /v1/imports</w:t>
            </w:r>
          </w:p>
        </w:tc>
        <w:tc>
          <w:tcPr>
            <w:tcW w:type="dxa" w:w="256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CSV文件、source_id、Idempotency-Key</w:t>
            </w:r>
          </w:p>
        </w:tc>
        <w:tc>
          <w:tcPr>
            <w:tcW w:type="dxa" w:w="384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202 job_id；异步校验，逐行返回错误。</w:t>
            </w:r>
          </w:p>
        </w:tc>
      </w:tr>
      <w:tr>
        <w:trPr>
          <w:cantSplit/>
        </w:trPr>
        <w:tc>
          <w:tcPr>
            <w:tcW w:type="dxa" w:w="3139"/>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POST /v1/predictions</w:t>
            </w:r>
          </w:p>
        </w:tc>
        <w:tc>
          <w:tcPr>
            <w:tcW w:type="dxa" w:w="2563"/>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event_id、region、as_of</w:t>
            </w:r>
          </w:p>
        </w:tc>
        <w:tc>
          <w:tcPr>
            <w:tcW w:type="dxa" w:w="3845"/>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202 job_id；仅运营，历史时点按历史模型规则运行。</w:t>
            </w:r>
          </w:p>
        </w:tc>
      </w:tr>
      <w:tr>
        <w:trPr>
          <w:cantSplit/>
        </w:trPr>
        <w:tc>
          <w:tcPr>
            <w:tcW w:type="dxa" w:w="313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POST /v1/subscriptions</w:t>
            </w:r>
          </w:p>
        </w:tc>
        <w:tc>
          <w:tcPr>
            <w:tcW w:type="dxa" w:w="256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地域、阈值、渠道、免打扰</w:t>
            </w:r>
          </w:p>
        </w:tc>
        <w:tc>
          <w:tcPr>
            <w:tcW w:type="dxa" w:w="384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201 subscription_id；所有者可修改和删除。</w:t>
            </w:r>
          </w:p>
        </w:tc>
      </w:tr>
      <w:tr>
        <w:trPr>
          <w:cantSplit/>
        </w:trPr>
        <w:tc>
          <w:tcPr>
            <w:tcW w:type="dxa" w:w="3139"/>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POST /v1/feedback</w:t>
            </w:r>
          </w:p>
        </w:tc>
        <w:tc>
          <w:tcPr>
            <w:tcW w:type="dxa" w:w="2563"/>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event_id、action、reason</w:t>
            </w:r>
          </w:p>
        </w:tc>
        <w:tc>
          <w:tcPr>
            <w:tcW w:type="dxa" w:w="3845"/>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201反馈ID；用户级鉴权。</w:t>
            </w:r>
          </w:p>
        </w:tc>
      </w:tr>
      <w:tr>
        <w:trPr>
          <w:cantSplit/>
        </w:trPr>
        <w:tc>
          <w:tcPr>
            <w:tcW w:type="dxa" w:w="313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GET /v1/evaluations/{id}</w:t>
            </w:r>
          </w:p>
        </w:tc>
        <w:tc>
          <w:tcPr>
            <w:tcW w:type="dxa" w:w="256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评估ID</w:t>
            </w:r>
          </w:p>
        </w:tc>
        <w:tc>
          <w:tcPr>
            <w:tcW w:type="dxa" w:w="384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数据清单、门槛结果、分组指标；分析师权限。</w:t>
            </w:r>
          </w:p>
        </w:tc>
      </w:tr>
      <w:tr>
        <w:trPr>
          <w:cantSplit/>
        </w:trPr>
        <w:tc>
          <w:tcPr>
            <w:tcW w:type="dxa" w:w="3139"/>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GET /health 与 /ready</w:t>
            </w:r>
          </w:p>
        </w:tc>
        <w:tc>
          <w:tcPr>
            <w:tcW w:type="dxa" w:w="2563"/>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无</w:t>
            </w:r>
          </w:p>
        </w:tc>
        <w:tc>
          <w:tcPr>
            <w:tcW w:type="dxa" w:w="3845"/>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进程存活与依赖就绪分开；不泄露密钥。</w:t>
            </w:r>
          </w:p>
        </w:tc>
      </w:tr>
    </w:tbl>
    <w:p>
      <w:pPr>
        <w:spacing w:after="0"/>
      </w:pPr>
    </w:p>
    <w:p>
      <w:pPr>
        <w:pStyle w:val="Heading2"/>
      </w:pPr>
      <w:r>
        <w:t>响应示例 仅演示</w:t>
      </w:r>
    </w:p>
    <w:p>
      <w:r>
        <w:t>{"event_id":"evt_demo", "as_of":"2026-09-20T00:00:00Z", "expires_at":"2026-09-23T00:00:00Z", "mode":"calibrated", "p72":0.68, "saturation":0.20, "headstart_index":54.4, "quality_status":"ok", "model_version":"m1", "label_version":"L1", "coverage_id":"licensed_sample_v1"}</w:t>
      </w:r>
    </w:p>
    <w:p>
      <w:r>
        <w:t>失败与降级：400字段错误；401未登录；403权限不足；409幂等键与请求体冲突；422业务校验错误；429配额超限并返回Retry-After；503服务不可用。数据不足属于200有效响应，指标置null并携带missing_fields和reason_codes。</w:t>
      </w:r>
    </w:p>
    <w:p>
      <w:r>
        <w:t>认证采用受控会话或OIDC；写入操作校验角色和资源所有权。分页游标绑定筛选条件和排序快照。API文档生成OpenAPI规范，内部命名与前端中文标签一一对应。</w:t>
      </w:r>
    </w:p>
    <w:p>
      <w:r>
        <w:br w:type="page"/>
      </w:r>
    </w:p>
    <w:p>
      <w:pPr>
        <w:pStyle w:val="Heading1"/>
      </w:pPr>
      <w:r>
        <w:t>9 调度监控与故障恢复</w:t>
      </w:r>
    </w:p>
    <w:p>
      <w:r>
        <w:t>任务依赖为采集完成 → 标准化 → 特征 → 预测 → 通知，不通过定时错开几分钟猜测上游完成。任务键由source/event、时间桶、版本构成；数据库唯一约束与事务控制幂等，队列按至少一次投递设计。</w:t>
      </w:r>
    </w:p>
    <w:p>
      <w:r>
        <w:t>小时授权数据整点采集，15分钟内完成评分；人工MVP在08:00和18:00录入后触发。每天02:00执行成熟标签和质量汇总，每周生成滚动回测，每月评估重训；模型不因定时训练完成而自动发布。</w:t>
      </w:r>
    </w:p>
    <w:tbl>
      <w:tblPr>
        <w:tblW w:type="auto" w:w="0"/>
        <w:tblLayout w:type="fixed"/>
        <w:tblLook w:firstColumn="1" w:firstRow="1" w:lastColumn="0" w:lastRow="0" w:noHBand="0" w:noVBand="1" w:val="04A0"/>
      </w:tblPr>
      <w:tblGrid>
        <w:gridCol w:w="2275"/>
        <w:gridCol w:w="3672"/>
        <w:gridCol w:w="3600"/>
      </w:tblGrid>
      <w:tr>
        <w:trPr>
          <w:cantSplit/>
          <w:tblHeader/>
        </w:trPr>
        <w:tc>
          <w:tcPr>
            <w:tcW w:type="dxa" w:w="2275"/>
            <w:vAlign w:val="center"/>
            <w:tcBorders>
              <w:top w:val="single" w:sz="4" w:color="D9D9D9"/>
              <w:left w:val="single" w:sz="4" w:color="D9D9D9"/>
              <w:bottom w:val="single" w:sz="4" w:color="D9D9D9"/>
              <w:right w:val="single" w:sz="4" w:color="D9D9D9"/>
            </w:tcBorders>
            <w:shd w:fill="E9EFF5"/>
            <w:tcMar>
              <w:top w:w="90" w:type="dxa"/>
              <w:left w:w="90" w:type="dxa"/>
              <w:bottom w:w="90" w:type="dxa"/>
              <w:right w:w="90" w:type="dxa"/>
            </w:tcMar>
          </w:tcPr>
          <w:p>
            <w:pPr>
              <w:spacing w:after="40" w:line="259" w:lineRule="auto"/>
            </w:pPr>
            <w:r>
              <w:rPr>
                <w:b/>
                <w:sz w:val="18"/>
              </w:rPr>
              <w:t>监控指标</w:t>
            </w:r>
          </w:p>
        </w:tc>
        <w:tc>
          <w:tcPr>
            <w:tcW w:type="dxa" w:w="3672"/>
            <w:vAlign w:val="center"/>
            <w:tcBorders>
              <w:top w:val="single" w:sz="4" w:color="D9D9D9"/>
              <w:left w:val="single" w:sz="4" w:color="D9D9D9"/>
              <w:bottom w:val="single" w:sz="4" w:color="D9D9D9"/>
              <w:right w:val="single" w:sz="4" w:color="D9D9D9"/>
            </w:tcBorders>
            <w:shd w:fill="E9EFF5"/>
            <w:tcMar>
              <w:top w:w="90" w:type="dxa"/>
              <w:left w:w="90" w:type="dxa"/>
              <w:bottom w:w="90" w:type="dxa"/>
              <w:right w:w="90" w:type="dxa"/>
            </w:tcMar>
          </w:tcPr>
          <w:p>
            <w:pPr>
              <w:spacing w:after="40" w:line="259" w:lineRule="auto"/>
            </w:pPr>
            <w:r>
              <w:rPr>
                <w:b/>
                <w:sz w:val="18"/>
              </w:rPr>
              <w:t>阈值初值</w:t>
            </w:r>
          </w:p>
        </w:tc>
        <w:tc>
          <w:tcPr>
            <w:tcW w:type="dxa" w:w="3600"/>
            <w:vAlign w:val="center"/>
            <w:tcBorders>
              <w:top w:val="single" w:sz="4" w:color="D9D9D9"/>
              <w:left w:val="single" w:sz="4" w:color="D9D9D9"/>
              <w:bottom w:val="single" w:sz="4" w:color="D9D9D9"/>
              <w:right w:val="single" w:sz="4" w:color="D9D9D9"/>
            </w:tcBorders>
            <w:shd w:fill="E9EFF5"/>
            <w:tcMar>
              <w:top w:w="90" w:type="dxa"/>
              <w:left w:w="90" w:type="dxa"/>
              <w:bottom w:w="90" w:type="dxa"/>
              <w:right w:w="90" w:type="dxa"/>
            </w:tcMar>
          </w:tcPr>
          <w:p>
            <w:pPr>
              <w:spacing w:after="40" w:line="259" w:lineRule="auto"/>
            </w:pPr>
            <w:r>
              <w:rPr>
                <w:b/>
                <w:sz w:val="18"/>
              </w:rPr>
              <w:t>动作</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采集成功率与新鲜度</w:t>
            </w:r>
          </w:p>
        </w:tc>
        <w:tc>
          <w:tcPr>
            <w:tcW w:type="dxa" w:w="36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连续3次失败或核心源超6h／36h</w:t>
            </w:r>
          </w:p>
        </w:tc>
        <w:tc>
          <w:tcPr>
            <w:tcW w:type="dxa" w:w="36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熔断来源、质量降级，15分钟内通知运营。</w:t>
            </w:r>
          </w:p>
        </w:tc>
      </w:tr>
      <w:tr>
        <w:trPr>
          <w:cantSplit/>
        </w:trPr>
        <w:tc>
          <w:tcPr>
            <w:tcW w:type="dxa" w:w="2275"/>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覆盖率和缺失率</w:t>
            </w:r>
          </w:p>
        </w:tc>
        <w:tc>
          <w:tcPr>
            <w:tcW w:type="dxa" w:w="3672"/>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覆盖&lt;80%或缺失率较7日增20个百分点</w:t>
            </w:r>
          </w:p>
        </w:tc>
        <w:tc>
          <w:tcPr>
            <w:tcW w:type="dxa" w:w="360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停止概率输出，保留规则结果及原因。</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任务与API</w:t>
            </w:r>
          </w:p>
        </w:tc>
        <w:tc>
          <w:tcPr>
            <w:tcW w:type="dxa" w:w="36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队列最老&gt;30分钟；p95&gt;2秒持续10分钟</w:t>
            </w:r>
          </w:p>
        </w:tc>
        <w:tc>
          <w:tcPr>
            <w:tcW w:type="dxa" w:w="36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排查限流和慢查询；扩容worker或减少非核心作业。</w:t>
            </w:r>
          </w:p>
        </w:tc>
      </w:tr>
      <w:tr>
        <w:trPr>
          <w:cantSplit/>
        </w:trPr>
        <w:tc>
          <w:tcPr>
            <w:tcW w:type="dxa" w:w="2275"/>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特征漂移</w:t>
            </w:r>
          </w:p>
        </w:tc>
        <w:tc>
          <w:tcPr>
            <w:tcW w:type="dxa" w:w="3672"/>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PSI&gt;0.2且窗口≥200样本</w:t>
            </w:r>
          </w:p>
        </w:tc>
        <w:tc>
          <w:tcPr>
            <w:tcW w:type="dxa" w:w="360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进入分析审查；不单凭漂移自动重训。</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概率质量</w:t>
            </w:r>
          </w:p>
        </w:tc>
        <w:tc>
          <w:tcPr>
            <w:tcW w:type="dxa" w:w="36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最近成熟200事件ECE&gt;0.10或Brier恶化20%</w:t>
            </w:r>
          </w:p>
        </w:tc>
        <w:tc>
          <w:tcPr>
            <w:tcW w:type="dxa" w:w="36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9" w:lineRule="auto"/>
            </w:pPr>
            <w:r>
              <w:rPr>
                <w:b w:val="0"/>
                <w:sz w:val="18"/>
              </w:rPr>
              <w:t>核查标签延迟与数据口径；连续两窗异常回退。</w:t>
            </w:r>
          </w:p>
        </w:tc>
      </w:tr>
      <w:tr>
        <w:trPr>
          <w:cantSplit/>
        </w:trPr>
        <w:tc>
          <w:tcPr>
            <w:tcW w:type="dxa" w:w="2275"/>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通知一致性</w:t>
            </w:r>
          </w:p>
        </w:tc>
        <w:tc>
          <w:tcPr>
            <w:tcW w:type="dxa" w:w="3672"/>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重复率&gt;0或失败率&gt;5%</w:t>
            </w:r>
          </w:p>
        </w:tc>
        <w:tc>
          <w:tcPr>
            <w:tcW w:type="dxa" w:w="3600"/>
            <w:vAlign w:val="center"/>
            <w:tcBorders>
              <w:top w:val="single" w:sz="4" w:color="D9D9D9"/>
              <w:left w:val="single" w:sz="4" w:color="D9D9D9"/>
              <w:bottom w:val="single" w:sz="4" w:color="D9D9D9"/>
              <w:right w:val="single" w:sz="4" w:color="D9D9D9"/>
            </w:tcBorders>
            <w:shd w:fill="F7F9FB"/>
            <w:tcMar>
              <w:top w:w="90" w:type="dxa"/>
              <w:left w:w="90" w:type="dxa"/>
              <w:bottom w:w="90" w:type="dxa"/>
              <w:right w:w="90" w:type="dxa"/>
            </w:tcMar>
          </w:tcPr>
          <w:p>
            <w:pPr>
              <w:spacing w:after="40" w:line="259" w:lineRule="auto"/>
            </w:pPr>
            <w:r>
              <w:rPr>
                <w:b w:val="0"/>
                <w:sz w:val="18"/>
              </w:rPr>
              <w:t>暂停外部发送，重放前先核对发送回执。</w:t>
            </w:r>
          </w:p>
        </w:tc>
      </w:tr>
    </w:tbl>
    <w:p>
      <w:pPr>
        <w:spacing w:after="0"/>
      </w:pPr>
    </w:p>
    <w:p>
      <w:r>
        <w:t>重试：对超时及临时5xx按1、5、15分钟指数退避加随机扰动，最多3次后死信；429遵从Retry-After；401或授权失效直接停采并提示续权。迟到数据重算受影响窗口，追加新版预测，不删除用户当时看到的结果。</w:t>
      </w:r>
    </w:p>
    <w:p>
      <w:r>
        <w:t>通知使用事务outbox：预测与待发消息同事务提交；发送端携带幂等键，有供应商回执先查后重试。不支持幂等的外部渠道不能保证恰好一次，必须保留异常对账；站内以唯一键保证无重复。</w:t>
      </w:r>
    </w:p>
    <w:p>
      <w:r>
        <w:t>模型故障回退最近通过验证版本；若输入口径不兼容则只显示规则观察。数据库故障期间不展示新预测；恢复后从游标补采。RPO≤24小时、RTO≤4小时，恢复演练验证备份可读和样例预测可复现。</w:t>
      </w:r>
    </w:p>
    <w:p>
      <w:r>
        <w:br w:type="page"/>
      </w:r>
    </w:p>
    <w:p>
      <w:pPr>
        <w:pStyle w:val="Heading1"/>
      </w:pPr>
      <w:r>
        <w:t>10 合规部署与测试验收</w:t>
      </w:r>
    </w:p>
    <w:p>
      <w:pPr>
        <w:pStyle w:val="Heading2"/>
      </w:pPr>
      <w:r>
        <w:t>数据治理与安全</w:t>
      </w:r>
    </w:p>
    <w:p>
      <w:r>
        <w:t>授权凭据进入密钥管理，不入代码或日志。传输使用TLS，存储加密；作者ID如确有去重必要，优先由数据提供方输出聚合值，否则使用受控伪名标识并限制保留。伪名化不等于匿名化，仍按个人信息治理。[5]</w:t>
      </w:r>
    </w:p>
    <w:p>
      <w:r>
        <w:t>来源协议决定允许采集、保存、展示、训练和商业使用的边界；记录用途和到期时间，到期停采。默认原始证据90天、特征预测13个月、审计180天，若权利要求更短则缩短；模型复现以合法保留为前提，删除请求记录影响范围。</w:t>
      </w:r>
    </w:p>
    <w:p>
      <w:r>
        <w:t>默认境内部署，外部模型不接收原始个人信息或受限平台内容。上传CSV做大小和格式校验，导出防公式注入；来源链接抓取启用域名白名单与内网地址拦截，防SSRF。公告中的指令不能改变系统行为。</w:t>
      </w:r>
    </w:p>
    <w:p>
      <w:pPr>
        <w:pStyle w:val="Heading2"/>
      </w:pPr>
      <w:r>
        <w:t>发布与运维</w:t>
      </w:r>
    </w:p>
    <w:p>
      <w:r>
        <w:t>配置区分dev、staging、prod，锁定依赖和镜像摘要，数据库迁移先备份并在测试恢复库演练。CI检查格式、单元、契约、集成和关键安全项；生产仅部署可追溯构建。费用按来源、作业和租户统计，达到月预算80%提示，100%停止非核心采集。</w:t>
      </w:r>
    </w:p>
    <w:p>
      <w:r>
        <w:t>上线顺序：数据管道 → 规则影子运行 → MVP A → 满足样本门槛 → 候选模型影子运行14天 → 10%用户灰度 → 全量。回滚同时切换模型、校准器和特征版本，禁止只回滚权重。</w:t>
      </w:r>
    </w:p>
    <w:p>
      <w:pPr>
        <w:pStyle w:val="Heading2"/>
      </w:pPr>
      <w:r>
        <w:t>开发里程碑与质量门禁</w:t>
      </w:r>
    </w:p>
    <w:p>
      <w:r>
        <w:t>第1周完成授权证明与字段契约；第2至3周交付采集、事件库和可重放快照；第4至5周交付API、雷达和告警；第6周起做前瞻标签、试用和数据审查；样本达标后2周完成候选模型评估。分工与退出条件与PRD一致。</w:t>
      </w:r>
    </w:p>
    <w:p>
      <w:r>
        <w:t>测试映射：PRD AC01—02覆盖导入去重和来源链；AC03做公式与空值契约测试；AC04和07做故障注入与通知重试；AC05覆盖阈值等号、72小时边界及unknown；AC06以未来记录注入验证无泄漏；AC08验证发布门禁不能被跳过。</w:t>
      </w:r>
    </w:p>
    <w:p>
      <w:r>
        <w:t>性能验收：10并发、2万事件、200万观测，榜单及详情p95≤2秒、错误率&lt;1%；小时评分15分钟内完成。运维验收：来源断开能降级、队列重放不重复、旧预测可复现、恢复演练达到RPO/RTO。预测质量与软件功能分别签收。</w:t>
      </w:r>
    </w:p>
    <w:p>
      <w:r>
        <w:br w:type="page"/>
      </w:r>
    </w:p>
    <w:p>
      <w:pPr>
        <w:pStyle w:val="Heading1"/>
      </w:pPr>
      <w:r>
        <w:t>11 实施依据与待确认事项</w:t>
      </w:r>
    </w:p>
    <w:p>
      <w:pPr>
        <w:pStyle w:val="Heading2"/>
      </w:pPr>
      <w:r>
        <w:t>官方资料</w:t>
      </w:r>
    </w:p>
    <w:p>
      <w:r>
        <w:t>[1] 抖音开放平台，开发者类型与权限。视频数据权限面向授权用户，不等同于全站关键词监测授权。https://open.douyin.com/platform/resource/docs/accession-guide/type-and-permission</w:t>
      </w:r>
    </w:p>
    <w:p>
      <w:r>
        <w:t>[2] 抖音开放平台服务协议。接入须遵守平台权限与授权范围。https://open.douyin.com/platform/resource/docs/operation-standard/agreement-protocol</w:t>
      </w:r>
    </w:p>
    <w:p>
      <w:r>
        <w:t>[3] 百度指数帮助与免责声明。指数引用、导出和商业使用需分别核实权限。https://index.baidu.com/Helper ； https://index.baidu.com/Helper/?tpl=duty</w:t>
      </w:r>
    </w:p>
    <w:p>
      <w:r>
        <w:t>[4] 和风天气开发文档，天气预报。逐小时预报范围及具体套餐权限以接入合同为准。https://dev.qweather.com/docs/api/weather/</w:t>
      </w:r>
    </w:p>
    <w:p>
      <w:r>
        <w:t>[5] 中华人民共和国个人信息保护法，官方机构刊载文本。https://www.ssf.gov.cn/portal/rootimages/uploadimg/1641708111970375/1641708111970375.pdf</w:t>
      </w:r>
    </w:p>
    <w:p>
      <w:r>
        <w:t>以上资料核验日期为2026年9月20日。本文中的权重、阈值、容量和周期均为设计初值或验收目标，不是已完成的实验结果；平台权限必须在接入时再次确认。</w:t>
      </w:r>
    </w:p>
    <w:p>
      <w:pPr>
        <w:pStyle w:val="Heading2"/>
      </w:pPr>
      <w:r>
        <w:t>启动时必须关闭的开放项</w:t>
      </w:r>
    </w:p>
    <w:p>
      <w:r>
        <w:t>D01 数据负责人确认主平台需求与内容的合法、连续获取方式，以及是否仅为抽样；若不成立，项目只启动规则观察，不对外提供L1概率。</w:t>
      </w:r>
    </w:p>
    <w:p>
      <w:r>
        <w:t>D02 产品与运营建立目标200个、最低150个的上海品牌库，确认全国活动如何映射本地门店、个性化优惠如何剔除、负面事件怎样单列。</w:t>
      </w:r>
    </w:p>
    <w:p>
      <w:r>
        <w:t>D03 分析师在试点数据上检查L1的3倍、q90、20条内容和10位作者阈值是否具备合理正例率；任何变更需更新label_version并重新回测，不混用新旧成绩。</w:t>
      </w:r>
    </w:p>
    <w:p>
      <w:r>
        <w:t>D04 工程负责人确定依赖版本、数据服务预算、托管部署方案和告警渠道；默认站内通知即可完成MVP。</w:t>
      </w:r>
    </w:p>
    <w:p>
      <w:r>
        <w:t>D05 产品负责人在概率发布时确认展示范围与说明：预测是监测范围内的事件热度爆发，不是个人视频成功概率；低覆盖和无校准状态必须显式呈现。</w:t>
      </w:r>
    </w:p>
    <w:p>
      <w:pPr>
        <w:pStyle w:val="Heading2"/>
      </w:pPr>
      <w:r>
        <w:t>复现交付物清单</w:t>
      </w:r>
    </w:p>
    <w:p>
      <w:r>
        <w:t>正式开发应交付数据库迁移、接口规范、来源登记、标签与特征配置、样例数据契约、训练数据清单、模型与校准器摘要、测试报告、告警规则及恢复手册。本文给出设计与门槛，实际数据授权、训练结果和部署环境由实施阶段验收。</w:t>
      </w:r>
    </w:p>
    <w:sectPr w:rsidR="00FC693F" w:rsidRPr="0006063C" w:rsidSect="00034616">
      <w:footerReference w:type="default" r:id="rId9"/>
      <w:pgSz w:w="11909" w:h="16834"/>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TDD  ·  v1.1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76" w:lineRule="auto"/>
      <w:outlineLvl w:val="0"/>
    </w:pPr>
    <w:rPr>
      <w:rFonts w:asciiTheme="majorHAnsi" w:eastAsiaTheme="majorEastAsia" w:hAnsiTheme="majorHAnsi" w:cstheme="majorBidi" w:ascii="Arial" w:hAnsi="Arial" w:eastAsia="Noto Sans CJK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Arial" w:hAnsi="Arial"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6" w:lineRule="auto"/>
      <w:contextualSpacing/>
    </w:pPr>
    <w:rPr>
      <w:rFonts w:asciiTheme="majorHAnsi" w:eastAsiaTheme="majorEastAsia" w:hAnsiTheme="majorHAnsi" w:cstheme="majorBidi" w:ascii="Arial" w:hAnsi="Arial" w:eastAsia="Noto Sans CJK S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美食品牌72小时爆款预测系统 TDD</dc:title>
  <dc:subject>未来72小时爆款率与抢跑指数</dc:subject>
  <dc:creator>产品与技术设计</dc:creator>
  <cp:keywords/>
  <dc:description>generated by python-docx</dc:description>
  <cp:lastModifiedBy/>
  <cp:revision>1</cp:revision>
  <dcterms:created xsi:type="dcterms:W3CDTF">2013-12-23T23:15:00Z</dcterms:created>
  <dcterms:modified xsi:type="dcterms:W3CDTF">2013-12-23T23:15:00Z</dcterms:modified>
  <cp:category/>
</cp:coreProperties>
</file>