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Unicode Proposal: Modernized Encoding Model for Traditional Mongolian Script</w:t>
      </w:r>
    </w:p>
    <w:p>
      <w:pPr>
        <w:pStyle w:val="Heading2"/>
      </w:pPr>
      <w:r>
        <w:t>Executive Summary</w:t>
      </w:r>
    </w:p>
    <w:p>
      <w:r>
        <w:t>This document presents a formal Unicode submission proposing a parallel, modernized encoding model for the Traditional Mongolian script. The proposal addresses long-standing issues in the current Unicode Mongolian architecture, including font-level fragmentation, platform-dependent rendering behavior, and persistent linguistic ambiguity that negatively affects data integrity, search, and AI processing.</w:t>
      </w:r>
    </w:p>
    <w:p>
      <w:pPr>
        <w:pStyle w:val="Heading2"/>
      </w:pPr>
      <w:r>
        <w:t>Background and Historical Context</w:t>
      </w:r>
    </w:p>
    <w:p>
      <w:r>
        <w:t>The Traditional Mongolian script evolved through multiple historical stages influenced by Sogdian, Tibetan, Persian, Russian, and Chinese traditions. Over centuries, regional divergence and external linguistic influence led to increased structural complexity and variation. Unicode encoding introduced in 2000 preserved only a subset of abstract base letters while delegating written forms to font-level logic.</w:t>
      </w:r>
    </w:p>
    <w:p>
      <w:pPr>
        <w:pStyle w:val="Heading2"/>
      </w:pPr>
      <w:r>
        <w:t>Problem Statement</w:t>
      </w:r>
    </w:p>
    <w:p>
      <w:r>
        <w:t>The current Unicode model relies on a dual-layer architecture in which abstract Unicode characters depend on font-level OpenType shaping. This approach results in inconsistent rendering, ambiguous stored text, incompatible fonts, and degraded NLP and AI performance.</w:t>
      </w:r>
    </w:p>
    <w:p>
      <w:pPr>
        <w:pStyle w:val="Heading2"/>
      </w:pPr>
      <w:r>
        <w:t>Proposed Solution Overview</w:t>
      </w:r>
    </w:p>
    <w:p>
      <w:r>
        <w:t>This proposal introduces a secondary Unicode encoding model that explicitly encodes initial, medial, final, and isolate forms at the Unicode level. The model reduces dependence on font logic, unifies duplicated characters, and delegates grammatical and regional variation to IMEs.</w:t>
      </w:r>
    </w:p>
    <w:p>
      <w:pPr>
        <w:pStyle w:val="Heading2"/>
      </w:pPr>
      <w:r>
        <w:t>Architectural Comparison (AS-IS vs TO-BE)</w:t>
      </w:r>
    </w:p>
    <w:p>
      <w:r>
        <w:t>The AS-IS model encodes abstract characters and relies on fonts for grammar and shaping. The TO-BE model encodes concrete written forms directly, enabling deterministic rendering and platform-independent behavior.</w:t>
      </w:r>
    </w:p>
    <w:p>
      <w:pPr>
        <w:pStyle w:val="Heading2"/>
      </w:pPr>
      <w:r>
        <w:t>ZCode Element-Based Encoding Model</w:t>
      </w:r>
    </w:p>
    <w:p>
      <w:r>
        <w:t>The proposed ZCode model represents Mongolian letters as compositions of 52 reusable structural elements. These elements can generate 176 distinct written variants covering all real-world usage while preserving a 35-letter phonetic framework.</w:t>
      </w:r>
    </w:p>
    <w:p>
      <w:pPr>
        <w:pStyle w:val="Heading2"/>
      </w:pPr>
      <w:r>
        <w:t>Unicode Relevance and Benefits</w:t>
      </w:r>
    </w:p>
    <w:p>
      <w:r>
        <w:t>The proposal restores correct separation of concerns: Unicode encodes written reality, IMEs manage variation, and fonts render glyphs. This eliminates font-standard conflicts, improves interoperability, ensures AI-safe data, and lowers long-term maintenance cost.</w:t>
      </w:r>
    </w:p>
    <w:p>
      <w:pPr>
        <w:pStyle w:val="Heading2"/>
      </w:pPr>
      <w:r>
        <w:t>Backward Compatibility</w:t>
      </w:r>
    </w:p>
    <w:p>
      <w:r>
        <w:t>The proposed model coexists with the existing Unicode Mongolian block. Legacy text remains unchanged, while new implementations may gradually adopt the modern model via IMEs and applications.</w:t>
      </w:r>
    </w:p>
    <w:p>
      <w:pPr>
        <w:pStyle w:val="Heading2"/>
      </w:pPr>
      <w:r>
        <w:t>Conclusion</w:t>
      </w:r>
    </w:p>
    <w:p>
      <w:r>
        <w:t>The proposed modernized Unicode encoding model provides a scalable, deterministic, and data-safe foundation for Traditional Mongolian. It aligns Unicode architecture with real-world usage and modern computational requirements while preserving historical and regional diversity.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