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86244C">
      <w:pPr>
        <w:spacing w:before="0" w:after="80" w:line="300" w:lineRule="auto"/>
      </w:pPr>
      <w:r>
        <w:rPr>
          <w:rFonts w:ascii="Arial" w:hAnsi="Arial" w:eastAsia="微软雅黑"/>
          <w:b/>
          <w:i w:val="0"/>
          <w:color w:val="D38858"/>
          <w:sz w:val="21"/>
        </w:rPr>
        <w:t>供应商制作需求书</w:t>
      </w:r>
    </w:p>
    <w:p w14:paraId="463123C3">
      <w:pPr>
        <w:spacing w:before="0" w:after="140" w:line="300" w:lineRule="auto"/>
      </w:pPr>
      <w:r>
        <w:rPr>
          <w:rFonts w:ascii="Arial" w:hAnsi="Arial" w:eastAsia="微软雅黑"/>
          <w:b/>
          <w:i w:val="0"/>
          <w:color w:val="875735"/>
          <w:sz w:val="50"/>
        </w:rPr>
        <w:t>诚实</w:t>
      </w:r>
      <w:r>
        <w:rPr>
          <w:rFonts w:hint="eastAsia" w:ascii="Arial" w:hAnsi="Arial"/>
          <w:b/>
          <w:i w:val="0"/>
          <w:color w:val="875735"/>
          <w:sz w:val="50"/>
          <w:lang w:eastAsia="zh-CN"/>
        </w:rPr>
        <w:t>纽雀</w:t>
      </w:r>
      <w:r>
        <w:rPr>
          <w:rFonts w:ascii="Arial" w:hAnsi="Arial" w:eastAsia="微软雅黑"/>
          <w:b/>
          <w:i w:val="0"/>
          <w:color w:val="875735"/>
          <w:sz w:val="50"/>
        </w:rPr>
        <w:t>「首页检测报告」H5</w:t>
      </w:r>
    </w:p>
    <w:p w14:paraId="14E9B3BF">
      <w:pPr>
        <w:spacing w:before="0" w:after="360" w:line="300" w:lineRule="auto"/>
      </w:pPr>
      <w:r>
        <w:rPr>
          <w:rFonts w:ascii="Arial" w:hAnsi="Arial" w:eastAsia="微软雅黑"/>
          <w:b w:val="0"/>
          <w:i w:val="0"/>
          <w:color w:val="8C8176"/>
          <w:sz w:val="26"/>
        </w:rPr>
        <w:t>移动端展示页 + 资料后台管理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D25E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FF8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72278">
            <w:pPr>
              <w:spacing w:before="0" w:after="0" w:line="283" w:lineRule="auto"/>
            </w:pPr>
            <w:r>
              <w:rPr>
                <w:rFonts w:ascii="Arial" w:hAnsi="Arial" w:eastAsia="微软雅黑"/>
                <w:b/>
                <w:i w:val="0"/>
                <w:color w:val="D38858"/>
                <w:sz w:val="19"/>
              </w:rPr>
              <w:t>项目目标</w:t>
            </w:r>
            <w:r>
              <w:rPr>
                <w:rFonts w:ascii="Arial" w:hAnsi="Arial" w:eastAsia="微软雅黑"/>
                <w:b/>
                <w:i w:val="0"/>
                <w:color w:val="D38858"/>
                <w:sz w:val="19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432C22"/>
                <w:sz w:val="21"/>
              </w:rPr>
              <w:t>在 2026 年 8 月 27 日前完成正式上线</w:t>
            </w:r>
          </w:p>
        </w:tc>
        <w:tc>
          <w:tcPr>
            <w:tcW w:w="4680" w:type="dxa"/>
            <w:shd w:val="clear" w:color="auto" w:fill="FFF8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CB3A8">
            <w:pPr>
              <w:spacing w:before="0" w:after="0" w:line="283" w:lineRule="auto"/>
            </w:pPr>
            <w:r>
              <w:rPr>
                <w:rFonts w:ascii="Arial" w:hAnsi="Arial" w:eastAsia="微软雅黑"/>
                <w:b/>
                <w:i w:val="0"/>
                <w:color w:val="D38858"/>
                <w:sz w:val="19"/>
              </w:rPr>
              <w:t>交付范围</w:t>
            </w:r>
            <w:r>
              <w:rPr>
                <w:rFonts w:ascii="Arial" w:hAnsi="Arial" w:eastAsia="微软雅黑"/>
                <w:b/>
                <w:i w:val="0"/>
                <w:color w:val="D38858"/>
                <w:sz w:val="19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432C22"/>
                <w:sz w:val="21"/>
              </w:rPr>
              <w:t>H5 前台、管理后台、部署与上线支持</w:t>
            </w:r>
          </w:p>
        </w:tc>
      </w:tr>
      <w:tr w14:paraId="1A92E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FF8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CF7854">
            <w:pPr>
              <w:spacing w:before="0" w:after="0" w:line="283" w:lineRule="auto"/>
            </w:pPr>
            <w:r>
              <w:rPr>
                <w:rFonts w:ascii="Arial" w:hAnsi="Arial" w:eastAsia="微软雅黑"/>
                <w:b/>
                <w:i w:val="0"/>
                <w:color w:val="D38858"/>
                <w:sz w:val="19"/>
              </w:rPr>
              <w:t>主要渠道</w:t>
            </w:r>
            <w:r>
              <w:rPr>
                <w:rFonts w:ascii="Arial" w:hAnsi="Arial" w:eastAsia="微软雅黑"/>
                <w:b/>
                <w:i w:val="0"/>
                <w:color w:val="D38858"/>
                <w:sz w:val="19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432C22"/>
                <w:sz w:val="21"/>
              </w:rPr>
              <w:t>微信内打开为主，兼容手机浏览器</w:t>
            </w:r>
          </w:p>
        </w:tc>
        <w:tc>
          <w:tcPr>
            <w:tcW w:w="4680" w:type="dxa"/>
            <w:shd w:val="clear" w:color="auto" w:fill="FFF8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ED631A">
            <w:pPr>
              <w:spacing w:before="0" w:after="0" w:line="283" w:lineRule="auto"/>
            </w:pPr>
            <w:r>
              <w:rPr>
                <w:rFonts w:ascii="Arial" w:hAnsi="Arial" w:eastAsia="微软雅黑"/>
                <w:b/>
                <w:i w:val="0"/>
                <w:color w:val="D38858"/>
                <w:sz w:val="19"/>
              </w:rPr>
              <w:t>版本性质</w:t>
            </w:r>
            <w:r>
              <w:rPr>
                <w:rFonts w:ascii="Arial" w:hAnsi="Arial" w:eastAsia="微软雅黑"/>
                <w:b/>
                <w:i w:val="0"/>
                <w:color w:val="D38858"/>
                <w:sz w:val="19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432C22"/>
                <w:sz w:val="21"/>
              </w:rPr>
              <w:t>以设计稿为视觉基准；内容支持后台维护</w:t>
            </w:r>
          </w:p>
        </w:tc>
      </w:tr>
    </w:tbl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9C930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1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5DFAC2">
            <w:pPr>
              <w:spacing w:before="0" w:after="40" w:line="288" w:lineRule="auto"/>
            </w:pPr>
            <w:r>
              <w:rPr>
                <w:rFonts w:ascii="Arial" w:hAnsi="Arial" w:eastAsia="微软雅黑"/>
                <w:b/>
                <w:i w:val="0"/>
                <w:color w:val="875735"/>
                <w:sz w:val="21"/>
              </w:rPr>
              <w:t xml:space="preserve">请供应商按此文件拆分工作量并报价。  </w:t>
            </w:r>
            <w:r>
              <w:rPr>
                <w:rFonts w:ascii="Arial" w:hAnsi="Arial" w:eastAsia="微软雅黑"/>
                <w:b w:val="0"/>
                <w:i w:val="0"/>
                <w:color w:val="432C22"/>
                <w:sz w:val="21"/>
              </w:rPr>
              <w:t>如发现上线目标、素材完备度或第三方能力存在风险，请在报价阶段明确前置条件、替代方案与风险处理方式。</w:t>
            </w:r>
          </w:p>
        </w:tc>
      </w:tr>
    </w:tbl>
    <w:p w14:paraId="4440E180">
      <w:pPr>
        <w:spacing w:after="20"/>
      </w:pPr>
    </w:p>
    <w:p w14:paraId="623F21C1">
      <w:pPr>
        <w:pStyle w:val="3"/>
        <w:spacing w:before="320" w:after="140" w:line="264" w:lineRule="auto"/>
      </w:pPr>
      <w:r>
        <w:rPr>
          <w:rFonts w:ascii="Arial" w:hAnsi="Arial" w:eastAsia="微软雅黑"/>
          <w:b/>
          <w:i w:val="0"/>
          <w:color w:val="875735"/>
          <w:sz w:val="32"/>
        </w:rPr>
        <w:t>1. 项目目标与交付范围</w:t>
      </w:r>
    </w:p>
    <w:p w14:paraId="73EFE56C">
      <w:pPr>
        <w:spacing w:before="0" w:after="140" w:line="300" w:lineRule="auto"/>
      </w:pPr>
      <w:r>
        <w:rPr>
          <w:rFonts w:ascii="Arial" w:hAnsi="Arial" w:eastAsia="微软雅黑"/>
          <w:b w:val="0"/>
          <w:i w:val="0"/>
          <w:color w:val="432C22"/>
          <w:sz w:val="21"/>
        </w:rPr>
        <w:t>本项目用于展示诚实</w:t>
      </w:r>
      <w:r>
        <w:rPr>
          <w:rFonts w:hint="eastAsia" w:ascii="Arial" w:hAnsi="Arial"/>
          <w:b w:val="0"/>
          <w:i w:val="0"/>
          <w:color w:val="432C22"/>
          <w:sz w:val="21"/>
          <w:lang w:eastAsia="zh-CN"/>
        </w:rPr>
        <w:t>纽雀</w:t>
      </w:r>
      <w:r>
        <w:rPr>
          <w:rFonts w:ascii="Arial" w:hAnsi="Arial" w:eastAsia="微软雅黑"/>
          <w:b w:val="0"/>
          <w:i w:val="0"/>
          <w:color w:val="432C22"/>
          <w:sz w:val="21"/>
        </w:rPr>
        <w:t>的检测与溯源信息，帮助消费者快速理解品牌的“透明档案”、检测项目、复核保障及生产溯源内容。供应商需依据已提供的视觉设计稿，完成移动端 H5 页面与可运营的资料管理后台，并协助完成正式环境部署、测试和上线。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4740"/>
        <w:gridCol w:w="2880"/>
      </w:tblGrid>
      <w:tr w14:paraId="14777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40" w:type="dxa"/>
            <w:shd w:val="clear" w:color="auto" w:fill="F5E5B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492115">
            <w:pPr>
              <w:spacing w:before="0" w:after="0" w:line="276" w:lineRule="auto"/>
            </w:pPr>
            <w:r>
              <w:rPr>
                <w:rFonts w:ascii="Arial" w:hAnsi="Arial" w:eastAsia="微软雅黑"/>
                <w:b/>
                <w:i w:val="0"/>
                <w:color w:val="875735"/>
                <w:sz w:val="20"/>
              </w:rPr>
              <w:t>交付项</w:t>
            </w:r>
          </w:p>
        </w:tc>
        <w:tc>
          <w:tcPr>
            <w:tcW w:w="4740" w:type="dxa"/>
            <w:shd w:val="clear" w:color="auto" w:fill="F5E5B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FE54A">
            <w:pPr>
              <w:spacing w:before="0" w:after="0" w:line="276" w:lineRule="auto"/>
            </w:pPr>
            <w:r>
              <w:rPr>
                <w:rFonts w:ascii="Arial" w:hAnsi="Arial" w:eastAsia="微软雅黑"/>
                <w:b/>
                <w:i w:val="0"/>
                <w:color w:val="875735"/>
                <w:sz w:val="20"/>
              </w:rPr>
              <w:t>范围说明</w:t>
            </w:r>
          </w:p>
        </w:tc>
        <w:tc>
          <w:tcPr>
            <w:tcW w:w="2880" w:type="dxa"/>
            <w:shd w:val="clear" w:color="auto" w:fill="F5E5B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1CD359">
            <w:pPr>
              <w:spacing w:before="0" w:after="0" w:line="276" w:lineRule="auto"/>
            </w:pPr>
            <w:r>
              <w:rPr>
                <w:rFonts w:ascii="Arial" w:hAnsi="Arial" w:eastAsia="微软雅黑"/>
                <w:b/>
                <w:i w:val="0"/>
                <w:color w:val="875735"/>
                <w:sz w:val="20"/>
              </w:rPr>
              <w:t>验收产物</w:t>
            </w:r>
          </w:p>
        </w:tc>
      </w:tr>
      <w:tr w14:paraId="34A3A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0" w:type="dxa"/>
            <w:shd w:val="clear" w:color="auto" w:fill="FFF9EC"/>
          </w:tcPr>
          <w:p w14:paraId="5A8D11D7">
            <w:pPr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432C22"/>
                <w:sz w:val="19"/>
              </w:rPr>
              <w:t>H5 前台</w:t>
            </w:r>
          </w:p>
        </w:tc>
        <w:tc>
          <w:tcPr>
            <w:tcW w:w="4740" w:type="dxa"/>
          </w:tcPr>
          <w:p w14:paraId="441C5691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按设计稿还原单页纵向长页；首页带轻量过场动画；信息模块可点击展开。</w:t>
            </w:r>
          </w:p>
        </w:tc>
        <w:tc>
          <w:tcPr>
            <w:tcW w:w="2880" w:type="dxa"/>
          </w:tcPr>
          <w:p w14:paraId="6250691F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可访问正式链接、前端源代码、部署说明。</w:t>
            </w:r>
          </w:p>
        </w:tc>
      </w:tr>
      <w:tr w14:paraId="412F3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0" w:type="dxa"/>
            <w:shd w:val="clear" w:color="auto" w:fill="FFF9EC"/>
          </w:tcPr>
          <w:p w14:paraId="707A4328">
            <w:pPr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432C22"/>
                <w:sz w:val="19"/>
              </w:rPr>
              <w:t>管理后台</w:t>
            </w:r>
          </w:p>
        </w:tc>
        <w:tc>
          <w:tcPr>
            <w:tcW w:w="4740" w:type="dxa"/>
          </w:tcPr>
          <w:p w14:paraId="1E5AAEE4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用于上传、编辑、删除检测资料及模块文案；支持预览、发布与下线。</w:t>
            </w:r>
          </w:p>
        </w:tc>
        <w:tc>
          <w:tcPr>
            <w:tcW w:w="2880" w:type="dxa"/>
          </w:tcPr>
          <w:p w14:paraId="0BE1FA9A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后台地址、管理员账号、操作说明。</w:t>
            </w:r>
          </w:p>
        </w:tc>
      </w:tr>
      <w:tr w14:paraId="4FC3E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0" w:type="dxa"/>
            <w:shd w:val="clear" w:color="auto" w:fill="FFF9EC"/>
          </w:tcPr>
          <w:p w14:paraId="711E1889">
            <w:pPr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432C22"/>
                <w:sz w:val="19"/>
              </w:rPr>
              <w:t>上线支持</w:t>
            </w:r>
          </w:p>
        </w:tc>
        <w:tc>
          <w:tcPr>
            <w:tcW w:w="4740" w:type="dxa"/>
          </w:tcPr>
          <w:p w14:paraId="6D41BE44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协助联调、UAT、正式部署、上线后稳定性观察。</w:t>
            </w:r>
          </w:p>
        </w:tc>
        <w:tc>
          <w:tcPr>
            <w:tcW w:w="2880" w:type="dxa"/>
          </w:tcPr>
          <w:p w14:paraId="7D7F8469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上线记录、验收清单、问题闭环记录。</w:t>
            </w:r>
          </w:p>
        </w:tc>
      </w:tr>
    </w:tbl>
    <w:p w14:paraId="0D119500">
      <w:pPr>
        <w:spacing w:after="40"/>
      </w:pPr>
    </w:p>
    <w:p w14:paraId="2FA5AC1B">
      <w:pPr>
        <w:pStyle w:val="3"/>
        <w:spacing w:before="320" w:after="140" w:line="264" w:lineRule="auto"/>
      </w:pPr>
      <w:r>
        <w:rPr>
          <w:rFonts w:ascii="Arial" w:hAnsi="Arial" w:eastAsia="微软雅黑"/>
          <w:b/>
          <w:i w:val="0"/>
          <w:color w:val="875735"/>
          <w:sz w:val="32"/>
        </w:rPr>
        <w:t>2. 页面信息架构与交互说明</w:t>
      </w:r>
    </w:p>
    <w:p w14:paraId="50336870">
      <w:pPr>
        <w:spacing w:before="0" w:after="160" w:line="300" w:lineRule="auto"/>
      </w:pPr>
      <w:r>
        <w:rPr>
          <w:rFonts w:ascii="Arial" w:hAnsi="Arial" w:eastAsia="微软雅黑"/>
          <w:b w:val="0"/>
          <w:i w:val="0"/>
          <w:color w:val="432C22"/>
          <w:sz w:val="21"/>
        </w:rPr>
        <w:t>页面为竖向滚动 H5。图 1 为总体设计稿；图 2 标注了本次需开发的关键区域；图 3 为信息模块展开后的内容样式参考。供应商须以设计源文件为最终切图和尺寸依据，以下描述用于明确功能与交互边界。</w:t>
      </w:r>
    </w:p>
    <w:p w14:paraId="5AB06E5E">
      <w:pPr>
        <w:pStyle w:val="4"/>
        <w:spacing w:before="220" w:after="100" w:line="264" w:lineRule="auto"/>
      </w:pPr>
      <w:r>
        <w:rPr>
          <w:rFonts w:ascii="Arial" w:hAnsi="Arial" w:eastAsia="微软雅黑"/>
          <w:b/>
          <w:i w:val="0"/>
          <w:color w:val="D38858"/>
          <w:sz w:val="25"/>
        </w:rPr>
        <w:t xml:space="preserve">2.1 首页（图 </w:t>
      </w:r>
      <w:r>
        <w:rPr>
          <w:rFonts w:hint="eastAsia" w:ascii="Arial" w:hAnsi="Arial" w:eastAsia="微软雅黑"/>
          <w:b/>
          <w:i w:val="0"/>
          <w:color w:val="D38858"/>
          <w:sz w:val="25"/>
          <w:lang w:val="en-US" w:eastAsia="zh-CN"/>
        </w:rPr>
        <w:t>1</w:t>
      </w:r>
      <w:r>
        <w:rPr>
          <w:rFonts w:ascii="Arial" w:hAnsi="Arial" w:eastAsia="微软雅黑"/>
          <w:b/>
          <w:i w:val="0"/>
          <w:color w:val="D38858"/>
          <w:sz w:val="25"/>
        </w:rPr>
        <w:t xml:space="preserve"> 红框）</w:t>
      </w:r>
    </w:p>
    <w:p w14:paraId="5A75FFAE">
      <w:pPr>
        <w:spacing w:before="0" w:after="60" w:line="300" w:lineRule="auto"/>
      </w:pPr>
      <w:r>
        <w:rPr>
          <w:rFonts w:ascii="Arial" w:hAnsi="Arial" w:eastAsia="微软雅黑"/>
          <w:b/>
          <w:i w:val="0"/>
          <w:color w:val="875735"/>
          <w:sz w:val="21"/>
        </w:rPr>
        <w:t>展示内容：</w:t>
      </w:r>
      <w:r>
        <w:rPr>
          <w:rFonts w:ascii="Arial" w:hAnsi="Arial" w:eastAsia="微软雅黑"/>
          <w:b w:val="0"/>
          <w:i w:val="0"/>
          <w:color w:val="432C22"/>
          <w:sz w:val="21"/>
        </w:rPr>
        <w:t>品牌标识、主标题“诚实透明档案”、证件卡片、最新公开批次、检测结论标签及右侧页签等视觉元素。</w:t>
      </w:r>
    </w:p>
    <w:p w14:paraId="144E70BD">
      <w:pPr>
        <w:spacing w:before="0" w:after="60" w:line="300" w:lineRule="auto"/>
      </w:pPr>
      <w:r>
        <w:rPr>
          <w:rFonts w:ascii="Arial" w:hAnsi="Arial" w:eastAsia="微软雅黑"/>
          <w:b/>
          <w:i w:val="0"/>
          <w:color w:val="875735"/>
          <w:sz w:val="21"/>
        </w:rPr>
        <w:t>过场动画：</w:t>
      </w:r>
      <w:r>
        <w:rPr>
          <w:rFonts w:ascii="Arial" w:hAnsi="Arial" w:eastAsia="微软雅黑"/>
          <w:b w:val="0"/>
          <w:i w:val="0"/>
          <w:color w:val="432C22"/>
          <w:sz w:val="21"/>
        </w:rPr>
        <w:t>页面首次打开播放一次，建议总时长 1.5–3 秒：背景/封面渐显 → 标题与证件卡片依次入场 → 检测勾选标签出现 → 落定为可滚动静态首页。纸夹、卡片可采用轻微摆动或浮动效果。</w:t>
      </w:r>
    </w:p>
    <w:p w14:paraId="4ACFDBB0">
      <w:pPr>
        <w:spacing w:before="0" w:after="60" w:line="300" w:lineRule="auto"/>
      </w:pPr>
      <w:r>
        <w:rPr>
          <w:rFonts w:ascii="Arial" w:hAnsi="Arial" w:eastAsia="微软雅黑"/>
          <w:b/>
          <w:i w:val="0"/>
          <w:color w:val="875735"/>
          <w:sz w:val="21"/>
        </w:rPr>
        <w:t>交互要求：</w:t>
      </w:r>
      <w:r>
        <w:rPr>
          <w:rFonts w:ascii="Arial" w:hAnsi="Arial" w:eastAsia="微软雅黑"/>
          <w:b w:val="0"/>
          <w:i w:val="0"/>
          <w:color w:val="432C22"/>
          <w:sz w:val="21"/>
        </w:rPr>
        <w:t>动画不应阻塞用户滚动或关闭页面；不需要音效；用户再次进入默认不重复强制播放（可按会话或本地缓存控制）。</w:t>
      </w:r>
    </w:p>
    <w:p w14:paraId="73E909A8">
      <w:pPr>
        <w:pStyle w:val="4"/>
        <w:spacing w:before="220" w:after="100" w:line="264" w:lineRule="auto"/>
      </w:pPr>
      <w:r>
        <w:rPr>
          <w:rFonts w:ascii="Arial" w:hAnsi="Arial" w:eastAsia="微软雅黑"/>
          <w:b/>
          <w:i w:val="0"/>
          <w:color w:val="D38858"/>
          <w:sz w:val="25"/>
        </w:rPr>
        <w:t xml:space="preserve">2.2 主要信息模块（图 </w:t>
      </w:r>
      <w:r>
        <w:rPr>
          <w:rFonts w:hint="eastAsia" w:ascii="Arial" w:hAnsi="Arial" w:eastAsia="微软雅黑"/>
          <w:b/>
          <w:i w:val="0"/>
          <w:color w:val="D38858"/>
          <w:sz w:val="25"/>
          <w:lang w:val="en-US" w:eastAsia="zh-CN"/>
        </w:rPr>
        <w:t>1</w:t>
      </w:r>
      <w:r>
        <w:rPr>
          <w:rFonts w:ascii="Arial" w:hAnsi="Arial" w:eastAsia="微软雅黑"/>
          <w:b/>
          <w:i w:val="0"/>
          <w:color w:val="D38858"/>
          <w:sz w:val="25"/>
        </w:rPr>
        <w:t xml:space="preserve"> 绿框）</w:t>
      </w:r>
    </w:p>
    <w:p w14:paraId="40E3016C">
      <w:pPr>
        <w:spacing w:before="0" w:after="60" w:line="300" w:lineRule="auto"/>
      </w:pPr>
      <w:r>
        <w:rPr>
          <w:rFonts w:ascii="Arial" w:hAnsi="Arial" w:eastAsia="微软雅黑"/>
          <w:b/>
          <w:i w:val="0"/>
          <w:color w:val="875735"/>
          <w:sz w:val="21"/>
        </w:rPr>
        <w:t>展示内容：</w:t>
      </w:r>
      <w:r>
        <w:rPr>
          <w:rFonts w:ascii="Arial" w:hAnsi="Arial" w:eastAsia="微软雅黑"/>
          <w:b w:val="0"/>
          <w:i w:val="0"/>
          <w:color w:val="432C22"/>
          <w:sz w:val="21"/>
        </w:rPr>
        <w:t>“检测项目”“复核保障”“生产溯源”等模块按设计稿以标签页/卡片形式呈现，作为页面核心信息入口。</w:t>
      </w:r>
    </w:p>
    <w:p w14:paraId="6E1E17DC">
      <w:pPr>
        <w:spacing w:before="0" w:after="60" w:line="300" w:lineRule="auto"/>
      </w:pPr>
      <w:r>
        <w:rPr>
          <w:rFonts w:ascii="Arial" w:hAnsi="Arial" w:eastAsia="微软雅黑"/>
          <w:b/>
          <w:i w:val="0"/>
          <w:color w:val="875735"/>
          <w:sz w:val="21"/>
        </w:rPr>
        <w:t>展开方式：</w:t>
      </w:r>
      <w:r>
        <w:rPr>
          <w:rFonts w:ascii="Arial" w:hAnsi="Arial" w:eastAsia="微软雅黑"/>
          <w:b w:val="0"/>
          <w:i w:val="0"/>
          <w:color w:val="432C22"/>
          <w:sz w:val="21"/>
        </w:rPr>
        <w:t>点击某一模块后，在当前页面展开该模块的详情内容；建议采用向下展开并自动定位到详情首屏，支持收起与切换其他模块。展开、收起需有 200–400ms 的平滑过渡。</w:t>
      </w:r>
    </w:p>
    <w:p w14:paraId="7F4B780F">
      <w:pPr>
        <w:spacing w:before="0" w:after="60" w:line="300" w:lineRule="auto"/>
      </w:pPr>
      <w:r>
        <w:rPr>
          <w:rFonts w:ascii="Arial" w:hAnsi="Arial" w:eastAsia="微软雅黑"/>
          <w:b/>
          <w:i w:val="0"/>
          <w:color w:val="875735"/>
          <w:sz w:val="21"/>
        </w:rPr>
        <w:t>状态规则：</w:t>
      </w:r>
      <w:r>
        <w:rPr>
          <w:rFonts w:ascii="Arial" w:hAnsi="Arial" w:eastAsia="微软雅黑"/>
          <w:b w:val="0"/>
          <w:i w:val="0"/>
          <w:color w:val="432C22"/>
          <w:sz w:val="21"/>
        </w:rPr>
        <w:t>默认可展示首个重点模块或保持收起，由甲方在联调阶段确认；同一时间建议仅展开一个模块，以减少长页冗余。</w:t>
      </w:r>
    </w:p>
    <w:p w14:paraId="496A47D1">
      <w:pPr>
        <w:pStyle w:val="4"/>
        <w:spacing w:before="220" w:after="100" w:line="264" w:lineRule="auto"/>
      </w:pPr>
      <w:r>
        <w:rPr>
          <w:rFonts w:ascii="Arial" w:hAnsi="Arial" w:eastAsia="微软雅黑"/>
          <w:b/>
          <w:i w:val="0"/>
          <w:color w:val="D38858"/>
          <w:sz w:val="25"/>
        </w:rPr>
        <w:t xml:space="preserve">2.3 展开详情（图 </w:t>
      </w:r>
      <w:r>
        <w:rPr>
          <w:rFonts w:hint="eastAsia" w:ascii="Arial" w:hAnsi="Arial" w:eastAsia="微软雅黑"/>
          <w:b/>
          <w:i w:val="0"/>
          <w:color w:val="D38858"/>
          <w:sz w:val="25"/>
          <w:lang w:val="en-US" w:eastAsia="zh-CN"/>
        </w:rPr>
        <w:t>2</w:t>
      </w:r>
      <w:r>
        <w:rPr>
          <w:rFonts w:ascii="Arial" w:hAnsi="Arial" w:eastAsia="微软雅黑"/>
          <w:b/>
          <w:i w:val="0"/>
          <w:color w:val="D38858"/>
          <w:sz w:val="25"/>
        </w:rPr>
        <w:t>）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7380"/>
      </w:tblGrid>
      <w:tr w14:paraId="09882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80" w:type="dxa"/>
            <w:shd w:val="clear" w:color="auto" w:fill="F5E5B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D54727">
            <w:pPr>
              <w:spacing w:before="0" w:after="0" w:line="276" w:lineRule="auto"/>
            </w:pPr>
            <w:r>
              <w:rPr>
                <w:rFonts w:ascii="Arial" w:hAnsi="Arial" w:eastAsia="微软雅黑"/>
                <w:b/>
                <w:i w:val="0"/>
                <w:color w:val="875735"/>
                <w:sz w:val="20"/>
              </w:rPr>
              <w:t>元素</w:t>
            </w:r>
          </w:p>
        </w:tc>
        <w:tc>
          <w:tcPr>
            <w:tcW w:w="7380" w:type="dxa"/>
            <w:shd w:val="clear" w:color="auto" w:fill="F5E5B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43D572">
            <w:pPr>
              <w:spacing w:before="0" w:after="0" w:line="276" w:lineRule="auto"/>
            </w:pPr>
            <w:r>
              <w:rPr>
                <w:rFonts w:ascii="Arial" w:hAnsi="Arial" w:eastAsia="微软雅黑"/>
                <w:b/>
                <w:i w:val="0"/>
                <w:color w:val="875735"/>
                <w:sz w:val="20"/>
              </w:rPr>
              <w:t>需求说明</w:t>
            </w:r>
          </w:p>
        </w:tc>
      </w:tr>
      <w:tr w14:paraId="65A82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shd w:val="clear" w:color="auto" w:fill="FFF9EC"/>
          </w:tcPr>
          <w:p w14:paraId="2D678125">
            <w:pPr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432C22"/>
                <w:sz w:val="19"/>
              </w:rPr>
              <w:t>模块标题</w:t>
            </w:r>
          </w:p>
        </w:tc>
        <w:tc>
          <w:tcPr>
            <w:tcW w:w="7380" w:type="dxa"/>
          </w:tcPr>
          <w:p w14:paraId="4F636932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沿用对应色块与标签页风格，例如“检测项目”。</w:t>
            </w:r>
          </w:p>
        </w:tc>
      </w:tr>
      <w:tr w14:paraId="0CEDD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shd w:val="clear" w:color="auto" w:fill="FFF9EC"/>
          </w:tcPr>
          <w:p w14:paraId="1B31DDB6">
            <w:pPr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432C22"/>
                <w:sz w:val="19"/>
              </w:rPr>
              <w:t>资料卡片</w:t>
            </w:r>
          </w:p>
        </w:tc>
        <w:tc>
          <w:tcPr>
            <w:tcW w:w="7380" w:type="dxa"/>
          </w:tcPr>
          <w:p w14:paraId="725E2C29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每条资料以白色圆角卡片呈现：标题、简述、资料数量/更新时间（可选）及“查看 X 份报告”按钮。</w:t>
            </w:r>
          </w:p>
        </w:tc>
      </w:tr>
      <w:tr w14:paraId="0E8A0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shd w:val="clear" w:color="auto" w:fill="FFF9EC"/>
          </w:tcPr>
          <w:p w14:paraId="284323F5">
            <w:pPr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432C22"/>
                <w:sz w:val="19"/>
              </w:rPr>
              <w:t>资料查看</w:t>
            </w:r>
          </w:p>
        </w:tc>
        <w:tc>
          <w:tcPr>
            <w:tcW w:w="7380" w:type="dxa"/>
          </w:tcPr>
          <w:p w14:paraId="41C693E4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点击按钮打开对应报告列表；支持查看 PDF、图片或外部链接。若同一条目有多份报告，先进入列表或弹层选择。</w:t>
            </w:r>
          </w:p>
        </w:tc>
      </w:tr>
      <w:tr w14:paraId="586FC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shd w:val="clear" w:color="auto" w:fill="FFF9EC"/>
          </w:tcPr>
          <w:p w14:paraId="6451BC4B">
            <w:pPr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432C22"/>
                <w:sz w:val="19"/>
              </w:rPr>
              <w:t>底部提示</w:t>
            </w:r>
          </w:p>
        </w:tc>
        <w:tc>
          <w:tcPr>
            <w:tcW w:w="7380" w:type="dxa"/>
          </w:tcPr>
          <w:p w14:paraId="4DF20822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可展示“本页展示最新公开批次结果，如需核对某个批次，可联系客服查询对应批次档案”等运营提示，文案后台可维护。</w:t>
            </w:r>
          </w:p>
        </w:tc>
      </w:tr>
    </w:tbl>
    <w:p w14:paraId="715A81F8">
      <w:pPr>
        <w:spacing w:after="40"/>
      </w:pPr>
    </w:p>
    <w:p w14:paraId="38389ED0">
      <w:pPr>
        <w:pStyle w:val="4"/>
        <w:spacing w:before="220" w:after="100" w:line="264" w:lineRule="auto"/>
      </w:pPr>
      <w:r>
        <w:rPr>
          <w:rFonts w:ascii="Arial" w:hAnsi="Arial" w:eastAsia="微软雅黑"/>
          <w:b/>
          <w:i w:val="0"/>
          <w:color w:val="D38858"/>
          <w:sz w:val="25"/>
        </w:rPr>
        <w:t>2.4 页面其余区域</w:t>
      </w:r>
    </w:p>
    <w:p w14:paraId="65D0A82C">
      <w:pPr>
        <w:pStyle w:val="16"/>
        <w:spacing w:before="0" w:after="80" w:line="300" w:lineRule="auto"/>
        <w:ind w:left="540" w:hanging="274"/>
      </w:pPr>
      <w:r>
        <w:rPr>
          <w:rFonts w:ascii="Arial" w:hAnsi="Arial" w:eastAsia="微软雅黑"/>
          <w:b w:val="0"/>
          <w:i w:val="0"/>
          <w:color w:val="432C22"/>
          <w:sz w:val="21"/>
        </w:rPr>
        <w:t>保留设计稿中的“为宝贝把关，看清 3 层证据”过渡区、品牌初心区及底部插画/收尾内容，按视觉稿进行响应式还原。</w:t>
      </w:r>
    </w:p>
    <w:p w14:paraId="28D1143E">
      <w:pPr>
        <w:pStyle w:val="16"/>
        <w:spacing w:before="0" w:after="80" w:line="300" w:lineRule="auto"/>
        <w:ind w:left="540" w:hanging="274"/>
      </w:pPr>
      <w:r>
        <w:rPr>
          <w:rFonts w:ascii="Arial" w:hAnsi="Arial" w:eastAsia="微软雅黑"/>
          <w:b w:val="0"/>
          <w:i w:val="0"/>
          <w:color w:val="432C22"/>
          <w:sz w:val="21"/>
        </w:rPr>
        <w:t>右侧“下滑查看报告”等引导在对应位置展示；完成浏览引导后不遮挡正文和操作按钮。</w:t>
      </w:r>
    </w:p>
    <w:p w14:paraId="18E2D30E">
      <w:pPr>
        <w:pStyle w:val="16"/>
        <w:spacing w:before="0" w:after="80" w:line="300" w:lineRule="auto"/>
        <w:ind w:left="540" w:hanging="274"/>
      </w:pPr>
      <w:r>
        <w:rPr>
          <w:rFonts w:ascii="Arial" w:hAnsi="Arial" w:eastAsia="微软雅黑"/>
          <w:b w:val="0"/>
          <w:i w:val="0"/>
          <w:color w:val="432C22"/>
          <w:sz w:val="21"/>
        </w:rPr>
        <w:t>如需要分享，至少配置微信分享标题、描述、缩略图；分享文案及图片由甲方提供或后台维护。</w:t>
      </w:r>
    </w:p>
    <w:p w14:paraId="452C8F27">
      <w:r>
        <w:br w:type="page"/>
      </w:r>
    </w:p>
    <w:p w14:paraId="29D03AB3">
      <w:pPr>
        <w:pStyle w:val="3"/>
        <w:spacing w:before="320" w:after="140" w:line="264" w:lineRule="auto"/>
      </w:pPr>
      <w:r>
        <w:rPr>
          <w:rFonts w:ascii="Arial" w:hAnsi="Arial" w:eastAsia="微软雅黑"/>
          <w:b/>
          <w:i w:val="0"/>
          <w:color w:val="875735"/>
          <w:sz w:val="32"/>
        </w:rPr>
        <w:t>3. 管理后台需求</w:t>
      </w:r>
    </w:p>
    <w:p w14:paraId="1B383ACE">
      <w:pPr>
        <w:spacing w:before="0" w:after="140" w:line="300" w:lineRule="auto"/>
      </w:pPr>
      <w:r>
        <w:rPr>
          <w:rFonts w:ascii="Arial" w:hAnsi="Arial" w:eastAsia="微软雅黑"/>
          <w:b w:val="0"/>
          <w:i w:val="0"/>
          <w:color w:val="432C22"/>
          <w:sz w:val="21"/>
        </w:rPr>
        <w:t>后台面向甲方运营人员使用，核心目标是无需改代码即可维护页面资料与文案。后台可为 PC Web 管理界面；首期至少支持 1 类管理员角色，如需多人协作，应提供基础账号管理。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7110"/>
      </w:tblGrid>
      <w:tr w14:paraId="21D87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50" w:type="dxa"/>
            <w:shd w:val="clear" w:color="auto" w:fill="F5E5B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4DB053">
            <w:pPr>
              <w:spacing w:before="0" w:after="0" w:line="276" w:lineRule="auto"/>
            </w:pPr>
            <w:r>
              <w:rPr>
                <w:rFonts w:ascii="Arial" w:hAnsi="Arial" w:eastAsia="微软雅黑"/>
                <w:b/>
                <w:i w:val="0"/>
                <w:color w:val="875735"/>
                <w:sz w:val="20"/>
              </w:rPr>
              <w:t>功能模块</w:t>
            </w:r>
          </w:p>
        </w:tc>
        <w:tc>
          <w:tcPr>
            <w:tcW w:w="7110" w:type="dxa"/>
            <w:shd w:val="clear" w:color="auto" w:fill="F5E5B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0182F2">
            <w:pPr>
              <w:spacing w:before="0" w:after="0" w:line="276" w:lineRule="auto"/>
            </w:pPr>
            <w:r>
              <w:rPr>
                <w:rFonts w:ascii="Arial" w:hAnsi="Arial" w:eastAsia="微软雅黑"/>
                <w:b/>
                <w:i w:val="0"/>
                <w:color w:val="875735"/>
                <w:sz w:val="20"/>
              </w:rPr>
              <w:t>必备能力</w:t>
            </w:r>
          </w:p>
        </w:tc>
      </w:tr>
      <w:tr w14:paraId="4859A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shd w:val="clear" w:color="auto" w:fill="FFF9EC"/>
          </w:tcPr>
          <w:p w14:paraId="48FD2283">
            <w:pPr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432C22"/>
                <w:sz w:val="19"/>
              </w:rPr>
              <w:t>账号与权限</w:t>
            </w:r>
          </w:p>
        </w:tc>
        <w:tc>
          <w:tcPr>
            <w:tcW w:w="7110" w:type="dxa"/>
          </w:tcPr>
          <w:p w14:paraId="57C4B4C1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管理员登录、退出、修改密码；可选：新增/禁用运营账号并分配维护权限。</w:t>
            </w:r>
          </w:p>
        </w:tc>
      </w:tr>
      <w:tr w14:paraId="25788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shd w:val="clear" w:color="auto" w:fill="FFF9EC"/>
          </w:tcPr>
          <w:p w14:paraId="39FB87BA">
            <w:pPr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432C22"/>
                <w:sz w:val="19"/>
              </w:rPr>
              <w:t>信息模块管理</w:t>
            </w:r>
          </w:p>
        </w:tc>
        <w:tc>
          <w:tcPr>
            <w:tcW w:w="7110" w:type="dxa"/>
          </w:tcPr>
          <w:p w14:paraId="7F286AB0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新增、编辑、删除、排序、上/下线“检测项目 / 复核保障 / 生产溯源”等信息模块。</w:t>
            </w:r>
          </w:p>
        </w:tc>
      </w:tr>
      <w:tr w14:paraId="6B50E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shd w:val="clear" w:color="auto" w:fill="FFF9EC"/>
          </w:tcPr>
          <w:p w14:paraId="01EF116B">
            <w:pPr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432C22"/>
                <w:sz w:val="19"/>
              </w:rPr>
              <w:t>资料卡片管理</w:t>
            </w:r>
          </w:p>
        </w:tc>
        <w:tc>
          <w:tcPr>
            <w:tcW w:w="7110" w:type="dxa"/>
          </w:tcPr>
          <w:p w14:paraId="770D9E6E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维护卡片标题、说明、展示顺序、按钮文字、资料数量、底部提示文案。</w:t>
            </w:r>
          </w:p>
        </w:tc>
      </w:tr>
      <w:tr w14:paraId="71880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shd w:val="clear" w:color="auto" w:fill="FFF9EC"/>
          </w:tcPr>
          <w:p w14:paraId="22266500">
            <w:pPr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432C22"/>
                <w:sz w:val="19"/>
              </w:rPr>
              <w:t>资料文件管理</w:t>
            </w:r>
          </w:p>
        </w:tc>
        <w:tc>
          <w:tcPr>
            <w:tcW w:w="7110" w:type="dxa"/>
          </w:tcPr>
          <w:p w14:paraId="40A0A8DF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上传、替换、删除 PDF/图片；填写外链；一张卡片可关联多份资料，并可调整顺序。</w:t>
            </w:r>
          </w:p>
        </w:tc>
      </w:tr>
      <w:tr w14:paraId="4E7F6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shd w:val="clear" w:color="auto" w:fill="FFF9EC"/>
          </w:tcPr>
          <w:p w14:paraId="60833E0F">
            <w:pPr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432C22"/>
                <w:sz w:val="19"/>
              </w:rPr>
              <w:t>内容发布</w:t>
            </w:r>
          </w:p>
        </w:tc>
        <w:tc>
          <w:tcPr>
            <w:tcW w:w="7110" w:type="dxa"/>
          </w:tcPr>
          <w:p w14:paraId="178F7BCB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保存草稿、预览当前版本、发布到正式 H5、下线内容；发布应有明确的成功/失败反馈。</w:t>
            </w:r>
          </w:p>
        </w:tc>
      </w:tr>
      <w:tr w14:paraId="55287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shd w:val="clear" w:color="auto" w:fill="FFF9EC"/>
          </w:tcPr>
          <w:p w14:paraId="2011C9BA">
            <w:pPr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432C22"/>
                <w:sz w:val="19"/>
              </w:rPr>
              <w:t>基础留痕</w:t>
            </w:r>
          </w:p>
        </w:tc>
        <w:tc>
          <w:tcPr>
            <w:tcW w:w="7110" w:type="dxa"/>
          </w:tcPr>
          <w:p w14:paraId="78B6B17E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至少记录资料最后更新时间和操作人；如实现成本可控，保留发布记录与可回滚上一版本。</w:t>
            </w:r>
          </w:p>
        </w:tc>
      </w:tr>
    </w:tbl>
    <w:p w14:paraId="677E14AC">
      <w:pPr>
        <w:spacing w:after="4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04C54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1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7F4E5">
            <w:pPr>
              <w:spacing w:before="0" w:after="40" w:line="288" w:lineRule="auto"/>
            </w:pPr>
            <w:r>
              <w:rPr>
                <w:rFonts w:ascii="Arial" w:hAnsi="Arial" w:eastAsia="微软雅黑"/>
                <w:b/>
                <w:i w:val="0"/>
                <w:color w:val="875735"/>
                <w:sz w:val="21"/>
              </w:rPr>
              <w:t xml:space="preserve">文件与内容规则  </w:t>
            </w:r>
            <w:r>
              <w:rPr>
                <w:rFonts w:ascii="Arial" w:hAnsi="Arial" w:eastAsia="微软雅黑"/>
                <w:b w:val="0"/>
                <w:i w:val="0"/>
                <w:color w:val="432C22"/>
                <w:sz w:val="21"/>
              </w:rPr>
              <w:t>需与供应商确认单文件大小、支持格式、存储方式及访问权限。若报告包含敏感信息，应支持访问控制或使用甲方提供的受控文件地址。</w:t>
            </w:r>
          </w:p>
        </w:tc>
      </w:tr>
    </w:tbl>
    <w:p w14:paraId="3158D1E9">
      <w:pPr>
        <w:spacing w:after="20"/>
      </w:pPr>
    </w:p>
    <w:p w14:paraId="5FCE4548">
      <w:pPr>
        <w:pStyle w:val="3"/>
        <w:spacing w:before="320" w:after="140" w:line="264" w:lineRule="auto"/>
      </w:pPr>
      <w:r>
        <w:rPr>
          <w:rFonts w:ascii="Arial" w:hAnsi="Arial" w:eastAsia="微软雅黑"/>
          <w:b/>
          <w:i w:val="0"/>
          <w:color w:val="875735"/>
          <w:sz w:val="32"/>
        </w:rPr>
        <w:t>4. 技术、兼容与性能要求</w:t>
      </w:r>
    </w:p>
    <w:p w14:paraId="6EDF0830">
      <w:pPr>
        <w:pStyle w:val="16"/>
        <w:spacing w:before="0" w:after="80" w:line="300" w:lineRule="auto"/>
        <w:ind w:left="540" w:hanging="274"/>
      </w:pPr>
      <w:r>
        <w:rPr>
          <w:rFonts w:ascii="Arial" w:hAnsi="Arial" w:eastAsia="微软雅黑"/>
          <w:b w:val="0"/>
          <w:i w:val="0"/>
          <w:color w:val="432C22"/>
          <w:sz w:val="21"/>
        </w:rPr>
        <w:t>前台：移动端优先，基准视觉宽度 375px；适配主流 iOS / Android 手机与微信内置浏览器，兼容常见手机浏览器。</w:t>
      </w:r>
    </w:p>
    <w:p w14:paraId="741EE45E">
      <w:pPr>
        <w:pStyle w:val="16"/>
        <w:spacing w:before="0" w:after="80" w:line="300" w:lineRule="auto"/>
        <w:ind w:left="540" w:hanging="274"/>
      </w:pPr>
      <w:r>
        <w:rPr>
          <w:rFonts w:ascii="Arial" w:hAnsi="Arial" w:eastAsia="微软雅黑"/>
          <w:b w:val="0"/>
          <w:i w:val="0"/>
          <w:color w:val="432C22"/>
          <w:sz w:val="21"/>
        </w:rPr>
        <w:t>页面：HTTPS 访问；首屏优先加载，图片需压缩与按需加载；在 4G 环境下应避免明显白屏。动画使用轻量实现，禁止影响首屏可用性。</w:t>
      </w:r>
    </w:p>
    <w:p w14:paraId="7172053A">
      <w:pPr>
        <w:pStyle w:val="16"/>
        <w:spacing w:before="0" w:after="80" w:line="300" w:lineRule="auto"/>
        <w:ind w:left="540" w:hanging="274"/>
      </w:pPr>
      <w:r>
        <w:rPr>
          <w:rFonts w:ascii="Arial" w:hAnsi="Arial" w:eastAsia="微软雅黑"/>
          <w:b w:val="0"/>
          <w:i w:val="0"/>
          <w:color w:val="432C22"/>
          <w:sz w:val="21"/>
        </w:rPr>
        <w:t>数据：后台发布内容后可在 H5 生效；所有上传资料须有失效链接检测与异常提示。</w:t>
      </w:r>
    </w:p>
    <w:p w14:paraId="175A5E6D">
      <w:pPr>
        <w:pStyle w:val="16"/>
        <w:spacing w:before="0" w:after="80" w:line="300" w:lineRule="auto"/>
        <w:ind w:left="540" w:hanging="274"/>
      </w:pPr>
      <w:r>
        <w:rPr>
          <w:rFonts w:ascii="Arial" w:hAnsi="Arial" w:eastAsia="微软雅黑"/>
          <w:b w:val="0"/>
          <w:i w:val="0"/>
          <w:color w:val="432C22"/>
          <w:sz w:val="21"/>
        </w:rPr>
        <w:t>统计：至少预留页面 PV/UV、模块点击、报告查看按钮点击等埋点接入位置；统计平台由甲方确认。</w:t>
      </w:r>
    </w:p>
    <w:p w14:paraId="0A838C8F">
      <w:pPr>
        <w:pStyle w:val="16"/>
        <w:spacing w:before="0" w:after="80" w:line="300" w:lineRule="auto"/>
        <w:ind w:left="540" w:hanging="274"/>
      </w:pPr>
      <w:r>
        <w:rPr>
          <w:rFonts w:ascii="Arial" w:hAnsi="Arial" w:eastAsia="微软雅黑"/>
          <w:b w:val="0"/>
          <w:i w:val="0"/>
          <w:color w:val="432C22"/>
          <w:sz w:val="21"/>
        </w:rPr>
        <w:t>交付：前后端完整源代码、部署文档、接口说明、后台操作手册、第三方服务账号/配置清单。</w:t>
      </w:r>
    </w:p>
    <w:p w14:paraId="0D5E3FB2">
      <w:pPr>
        <w:pStyle w:val="3"/>
        <w:spacing w:before="320" w:after="140" w:line="264" w:lineRule="auto"/>
      </w:pPr>
      <w:r>
        <w:rPr>
          <w:rFonts w:ascii="Arial" w:hAnsi="Arial" w:eastAsia="微软雅黑"/>
          <w:b/>
          <w:i w:val="0"/>
          <w:color w:val="875735"/>
          <w:sz w:val="32"/>
        </w:rPr>
        <w:t>5. 甲方提供物与供应商配合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0"/>
        <w:gridCol w:w="5520"/>
      </w:tblGrid>
      <w:tr w14:paraId="6D1B8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840" w:type="dxa"/>
            <w:shd w:val="clear" w:color="auto" w:fill="F5E5B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CF11BB">
            <w:pPr>
              <w:spacing w:before="0" w:after="0" w:line="276" w:lineRule="auto"/>
            </w:pPr>
            <w:r>
              <w:rPr>
                <w:rFonts w:ascii="Arial" w:hAnsi="Arial" w:eastAsia="微软雅黑"/>
                <w:b/>
                <w:i w:val="0"/>
                <w:color w:val="875735"/>
                <w:sz w:val="20"/>
              </w:rPr>
              <w:t>甲方提供</w:t>
            </w:r>
          </w:p>
        </w:tc>
        <w:tc>
          <w:tcPr>
            <w:tcW w:w="5520" w:type="dxa"/>
            <w:shd w:val="clear" w:color="auto" w:fill="F5E5B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B52466">
            <w:pPr>
              <w:spacing w:before="0" w:after="0" w:line="276" w:lineRule="auto"/>
            </w:pPr>
            <w:r>
              <w:rPr>
                <w:rFonts w:ascii="Arial" w:hAnsi="Arial" w:eastAsia="微软雅黑"/>
                <w:b/>
                <w:i w:val="0"/>
                <w:color w:val="875735"/>
                <w:sz w:val="20"/>
              </w:rPr>
              <w:t>供应商需配合</w:t>
            </w:r>
          </w:p>
        </w:tc>
      </w:tr>
      <w:tr w14:paraId="2F1B7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0" w:type="dxa"/>
            <w:shd w:val="clear" w:color="auto" w:fill="FFF9EC"/>
          </w:tcPr>
          <w:p w14:paraId="710E9263">
            <w:pPr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432C22"/>
                <w:sz w:val="19"/>
              </w:rPr>
              <w:t>设计源文件、切图素材、品牌字体/规范（如有）</w:t>
            </w:r>
          </w:p>
        </w:tc>
        <w:tc>
          <w:tcPr>
            <w:tcW w:w="5520" w:type="dxa"/>
          </w:tcPr>
          <w:p w14:paraId="1C1DE217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确认可开发性，输出切图清单与动画实现建议。</w:t>
            </w:r>
          </w:p>
        </w:tc>
      </w:tr>
      <w:tr w14:paraId="36254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0" w:type="dxa"/>
            <w:shd w:val="clear" w:color="auto" w:fill="FFF9EC"/>
          </w:tcPr>
          <w:p w14:paraId="79C79008">
            <w:pPr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432C22"/>
                <w:sz w:val="19"/>
              </w:rPr>
              <w:t>模块文案、首批报告文件/链接、资料分类逻辑</w:t>
            </w:r>
          </w:p>
        </w:tc>
        <w:tc>
          <w:tcPr>
            <w:tcW w:w="5520" w:type="dxa"/>
          </w:tcPr>
          <w:p w14:paraId="170C87FB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按约定导入、搭建后台字段，并协助首批内容校验。</w:t>
            </w:r>
          </w:p>
        </w:tc>
      </w:tr>
      <w:tr w14:paraId="1CBCF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0" w:type="dxa"/>
            <w:shd w:val="clear" w:color="auto" w:fill="FFF9EC"/>
          </w:tcPr>
          <w:p w14:paraId="454272AA">
            <w:pPr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432C22"/>
                <w:sz w:val="19"/>
              </w:rPr>
              <w:t>域名、服务器/云资源、备案与统计平台信息（如已有）</w:t>
            </w:r>
          </w:p>
        </w:tc>
        <w:tc>
          <w:tcPr>
            <w:tcW w:w="5520" w:type="dxa"/>
          </w:tcPr>
          <w:p w14:paraId="7389F799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评估部署条件，完成部署、HTTPS 配置及联调。</w:t>
            </w:r>
          </w:p>
        </w:tc>
      </w:tr>
      <w:tr w14:paraId="6A867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0" w:type="dxa"/>
            <w:shd w:val="clear" w:color="auto" w:fill="FFF9EC"/>
          </w:tcPr>
          <w:p w14:paraId="37866AEF">
            <w:pPr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432C22"/>
                <w:sz w:val="19"/>
              </w:rPr>
              <w:t>验收人员与反馈时限</w:t>
            </w:r>
          </w:p>
        </w:tc>
        <w:tc>
          <w:tcPr>
            <w:tcW w:w="5520" w:type="dxa"/>
          </w:tcPr>
          <w:p w14:paraId="6FAC203A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提供可测试版本、缺陷清单跟进和上线支持。</w:t>
            </w:r>
          </w:p>
        </w:tc>
      </w:tr>
    </w:tbl>
    <w:p w14:paraId="7E53CD70">
      <w:pPr>
        <w:spacing w:after="40"/>
      </w:pPr>
    </w:p>
    <w:p w14:paraId="20F16C39">
      <w:pPr>
        <w:pStyle w:val="3"/>
        <w:spacing w:before="320" w:after="140" w:line="264" w:lineRule="auto"/>
      </w:pPr>
      <w:r>
        <w:rPr>
          <w:rFonts w:ascii="Arial" w:hAnsi="Arial" w:eastAsia="微软雅黑"/>
          <w:b/>
          <w:i w:val="0"/>
          <w:color w:val="875735"/>
          <w:sz w:val="32"/>
        </w:rPr>
        <w:t>6. 里程碑与上线排期</w:t>
      </w:r>
    </w:p>
    <w:p w14:paraId="3BA5A51C">
      <w:pPr>
        <w:spacing w:before="0" w:after="140" w:line="300" w:lineRule="auto"/>
      </w:pPr>
      <w:r>
        <w:rPr>
          <w:rFonts w:ascii="Arial" w:hAnsi="Arial" w:eastAsia="微软雅黑"/>
          <w:b w:val="0"/>
          <w:i w:val="0"/>
          <w:color w:val="432C22"/>
          <w:sz w:val="21"/>
        </w:rPr>
        <w:t>正式上线目标：2026 年 8 月 27 日（含）前。排期以设计源文件、首批资料、部署环境按时提供为前提；供应商应在启动后 1 个工作日内给出更细的项目计划与负责人。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5100"/>
        <w:gridCol w:w="2760"/>
      </w:tblGrid>
      <w:tr w14:paraId="505E3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shd w:val="clear" w:color="auto" w:fill="F5E5B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6D80B2">
            <w:pPr>
              <w:spacing w:before="0" w:after="0" w:line="276" w:lineRule="auto"/>
            </w:pPr>
            <w:r>
              <w:rPr>
                <w:rFonts w:ascii="Arial" w:hAnsi="Arial" w:eastAsia="微软雅黑"/>
                <w:b/>
                <w:i w:val="0"/>
                <w:color w:val="875735"/>
                <w:sz w:val="20"/>
              </w:rPr>
              <w:t>时间节点</w:t>
            </w:r>
          </w:p>
        </w:tc>
        <w:tc>
          <w:tcPr>
            <w:tcW w:w="5100" w:type="dxa"/>
            <w:shd w:val="clear" w:color="auto" w:fill="F5E5B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448AA">
            <w:pPr>
              <w:spacing w:before="0" w:after="0" w:line="276" w:lineRule="auto"/>
            </w:pPr>
            <w:r>
              <w:rPr>
                <w:rFonts w:ascii="Arial" w:hAnsi="Arial" w:eastAsia="微软雅黑"/>
                <w:b/>
                <w:i w:val="0"/>
                <w:color w:val="875735"/>
                <w:sz w:val="20"/>
              </w:rPr>
              <w:t>阶段与输出</w:t>
            </w:r>
          </w:p>
        </w:tc>
        <w:tc>
          <w:tcPr>
            <w:tcW w:w="2760" w:type="dxa"/>
            <w:shd w:val="clear" w:color="auto" w:fill="F5E5B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86C9FE">
            <w:pPr>
              <w:spacing w:before="0" w:after="0" w:line="276" w:lineRule="auto"/>
            </w:pPr>
            <w:r>
              <w:rPr>
                <w:rFonts w:ascii="Arial" w:hAnsi="Arial" w:eastAsia="微软雅黑"/>
                <w:b/>
                <w:i w:val="0"/>
                <w:color w:val="875735"/>
                <w:sz w:val="20"/>
              </w:rPr>
              <w:t>验收/决策点</w:t>
            </w:r>
          </w:p>
        </w:tc>
      </w:tr>
      <w:tr w14:paraId="187C7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FF9EC"/>
            <w:vAlign w:val="top"/>
          </w:tcPr>
          <w:p w14:paraId="198A3553">
            <w:pPr>
              <w:spacing w:before="0" w:after="0" w:line="288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i w:val="0"/>
                <w:color w:val="432C22"/>
                <w:sz w:val="19"/>
              </w:rPr>
              <w:t>8/3 前</w:t>
            </w:r>
          </w:p>
        </w:tc>
        <w:tc>
          <w:tcPr>
            <w:tcW w:w="5100" w:type="dxa"/>
          </w:tcPr>
          <w:p w14:paraId="7365AC84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项目启动；确认范围、环境、素材与后台字段清单。</w:t>
            </w:r>
          </w:p>
        </w:tc>
        <w:tc>
          <w:tcPr>
            <w:tcW w:w="2760" w:type="dxa"/>
          </w:tcPr>
          <w:p w14:paraId="0CA54B59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需求范围、风险及资料缺口确认。</w:t>
            </w:r>
          </w:p>
        </w:tc>
      </w:tr>
      <w:tr w14:paraId="2530C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FF9EC"/>
          </w:tcPr>
          <w:p w14:paraId="3A74B0FC">
            <w:pPr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432C22"/>
                <w:sz w:val="19"/>
              </w:rPr>
              <w:t>8/</w:t>
            </w:r>
            <w:r>
              <w:rPr>
                <w:rFonts w:hint="eastAsia" w:ascii="Arial" w:hAnsi="Arial"/>
                <w:b/>
                <w:i w:val="0"/>
                <w:color w:val="432C22"/>
                <w:sz w:val="19"/>
                <w:lang w:val="en-US" w:eastAsia="zh-CN"/>
              </w:rPr>
              <w:t>6</w:t>
            </w:r>
            <w:r>
              <w:rPr>
                <w:rFonts w:ascii="Arial" w:hAnsi="Arial" w:eastAsia="微软雅黑"/>
                <w:b/>
                <w:i w:val="0"/>
                <w:color w:val="432C22"/>
                <w:sz w:val="19"/>
              </w:rPr>
              <w:t>前</w:t>
            </w:r>
          </w:p>
        </w:tc>
        <w:tc>
          <w:tcPr>
            <w:tcW w:w="5100" w:type="dxa"/>
          </w:tcPr>
          <w:p w14:paraId="385CD492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提交开发计划、技术方案、动画分镜/效果说明。</w:t>
            </w:r>
          </w:p>
        </w:tc>
        <w:tc>
          <w:tcPr>
            <w:tcW w:w="2760" w:type="dxa"/>
          </w:tcPr>
          <w:p w14:paraId="3AF69436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甲方确认动画方向和交付节奏。</w:t>
            </w:r>
          </w:p>
        </w:tc>
      </w:tr>
      <w:tr w14:paraId="5FFC3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FF9EC"/>
          </w:tcPr>
          <w:p w14:paraId="04407396">
            <w:pPr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432C22"/>
                <w:sz w:val="19"/>
              </w:rPr>
              <w:t>8/</w:t>
            </w:r>
            <w:r>
              <w:rPr>
                <w:rFonts w:hint="eastAsia" w:ascii="Arial" w:hAnsi="Arial"/>
                <w:b/>
                <w:i w:val="0"/>
                <w:color w:val="432C22"/>
                <w:sz w:val="19"/>
                <w:lang w:val="en-US" w:eastAsia="zh-CN"/>
              </w:rPr>
              <w:t>6</w:t>
            </w:r>
            <w:r>
              <w:rPr>
                <w:rFonts w:ascii="Arial" w:hAnsi="Arial" w:eastAsia="微软雅黑"/>
                <w:b/>
                <w:i w:val="0"/>
                <w:color w:val="432C22"/>
                <w:sz w:val="19"/>
              </w:rPr>
              <w:t>–8/10</w:t>
            </w:r>
          </w:p>
        </w:tc>
        <w:tc>
          <w:tcPr>
            <w:tcW w:w="5100" w:type="dxa"/>
          </w:tcPr>
          <w:p w14:paraId="33149A35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完成前台静态页面及核心交互开发。</w:t>
            </w:r>
          </w:p>
        </w:tc>
        <w:tc>
          <w:tcPr>
            <w:tcW w:w="2760" w:type="dxa"/>
          </w:tcPr>
          <w:p w14:paraId="654F6F19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提供可访问的前台测试版。</w:t>
            </w:r>
          </w:p>
        </w:tc>
      </w:tr>
      <w:tr w14:paraId="473DA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FF9EC"/>
          </w:tcPr>
          <w:p w14:paraId="132DA916">
            <w:pPr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432C22"/>
                <w:sz w:val="19"/>
              </w:rPr>
              <w:t>8/11–8/17</w:t>
            </w:r>
          </w:p>
        </w:tc>
        <w:tc>
          <w:tcPr>
            <w:tcW w:w="5100" w:type="dxa"/>
          </w:tcPr>
          <w:p w14:paraId="447503FA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完成后台、资料关联、预览/发布与前后台联调。</w:t>
            </w:r>
          </w:p>
        </w:tc>
        <w:tc>
          <w:tcPr>
            <w:tcW w:w="2760" w:type="dxa"/>
          </w:tcPr>
          <w:p w14:paraId="1E00D8FF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提供全流程测试版和后台操作演示。</w:t>
            </w:r>
          </w:p>
        </w:tc>
      </w:tr>
      <w:tr w14:paraId="04F72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FF9EC"/>
          </w:tcPr>
          <w:p w14:paraId="5F5C5092">
            <w:pPr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432C22"/>
                <w:sz w:val="19"/>
              </w:rPr>
              <w:t>8/18–8/23</w:t>
            </w:r>
          </w:p>
        </w:tc>
        <w:tc>
          <w:tcPr>
            <w:tcW w:w="5100" w:type="dxa"/>
          </w:tcPr>
          <w:p w14:paraId="15FF9356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UAT 测试、缺陷修复、首批内容导入。</w:t>
            </w:r>
          </w:p>
        </w:tc>
        <w:tc>
          <w:tcPr>
            <w:tcW w:w="2760" w:type="dxa"/>
          </w:tcPr>
          <w:p w14:paraId="08C37A35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甲方集中反馈；供应商闭环 P0/P1 问题。</w:t>
            </w:r>
          </w:p>
        </w:tc>
      </w:tr>
      <w:tr w14:paraId="3AB71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FF9EC"/>
          </w:tcPr>
          <w:p w14:paraId="1317392A">
            <w:pPr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432C22"/>
                <w:sz w:val="19"/>
              </w:rPr>
              <w:t>8/24–8/26</w:t>
            </w:r>
          </w:p>
        </w:tc>
        <w:tc>
          <w:tcPr>
            <w:tcW w:w="5100" w:type="dxa"/>
          </w:tcPr>
          <w:p w14:paraId="16BF7C90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上线前回归、性能检查、正式环境部署与发布演练。</w:t>
            </w:r>
          </w:p>
        </w:tc>
        <w:tc>
          <w:tcPr>
            <w:tcW w:w="2760" w:type="dxa"/>
          </w:tcPr>
          <w:p w14:paraId="69F59EC9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上线确认与回退方案确认。</w:t>
            </w:r>
          </w:p>
        </w:tc>
      </w:tr>
      <w:tr w14:paraId="5A109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FF9EC"/>
          </w:tcPr>
          <w:p w14:paraId="779E98E4">
            <w:pPr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432C22"/>
                <w:sz w:val="19"/>
              </w:rPr>
              <w:t>8/27 前</w:t>
            </w:r>
          </w:p>
        </w:tc>
        <w:tc>
          <w:tcPr>
            <w:tcW w:w="5100" w:type="dxa"/>
          </w:tcPr>
          <w:p w14:paraId="4A4F2A88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正式发布并观察运行状态。</w:t>
            </w:r>
          </w:p>
        </w:tc>
        <w:tc>
          <w:tcPr>
            <w:tcW w:w="2760" w:type="dxa"/>
          </w:tcPr>
          <w:p w14:paraId="16179736">
            <w:pPr>
              <w:spacing w:before="0" w:after="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32C22"/>
                <w:sz w:val="19"/>
              </w:rPr>
              <w:t>正式链接可用，完成上线验收。</w:t>
            </w:r>
          </w:p>
        </w:tc>
      </w:tr>
    </w:tbl>
    <w:p w14:paraId="28DF5BC5">
      <w:pPr>
        <w:spacing w:after="40"/>
      </w:pPr>
    </w:p>
    <w:p w14:paraId="64FF8704">
      <w:pPr>
        <w:pStyle w:val="3"/>
        <w:spacing w:before="320" w:after="140" w:line="264" w:lineRule="auto"/>
      </w:pPr>
      <w:r>
        <w:rPr>
          <w:rFonts w:ascii="Arial" w:hAnsi="Arial" w:eastAsia="微软雅黑"/>
          <w:b/>
          <w:i w:val="0"/>
          <w:color w:val="875735"/>
          <w:sz w:val="32"/>
        </w:rPr>
        <w:t>7. 验收标准</w:t>
      </w:r>
    </w:p>
    <w:p w14:paraId="39AAAEC2">
      <w:pPr>
        <w:pStyle w:val="14"/>
        <w:spacing w:before="0" w:after="80" w:line="300" w:lineRule="auto"/>
        <w:ind w:left="540" w:hanging="274"/>
      </w:pPr>
      <w:r>
        <w:rPr>
          <w:rFonts w:ascii="Arial" w:hAnsi="Arial" w:eastAsia="微软雅黑"/>
          <w:b w:val="0"/>
          <w:i w:val="0"/>
          <w:color w:val="432C22"/>
          <w:sz w:val="21"/>
        </w:rPr>
        <w:t>视觉：页面与确认后的设计稿一致，文字、图片、色彩、圆角、层级和模块布局无明显偏差；不同主流手机尺寸不出现错位、截断或遮挡。</w:t>
      </w:r>
    </w:p>
    <w:p w14:paraId="0FC24D5B">
      <w:pPr>
        <w:pStyle w:val="14"/>
        <w:spacing w:before="0" w:after="80" w:line="300" w:lineRule="auto"/>
        <w:ind w:left="540" w:hanging="274"/>
      </w:pPr>
      <w:r>
        <w:rPr>
          <w:rFonts w:ascii="Arial" w:hAnsi="Arial" w:eastAsia="微软雅黑"/>
          <w:b w:val="0"/>
          <w:i w:val="0"/>
          <w:color w:val="432C22"/>
          <w:sz w:val="21"/>
        </w:rPr>
        <w:t>交互：首页过场动画正常、可跳过/不阻塞浏览；信息模块可正常展开、收起、切换；报告入口能准确打开对应资料。</w:t>
      </w:r>
    </w:p>
    <w:p w14:paraId="40FA293A">
      <w:pPr>
        <w:pStyle w:val="14"/>
        <w:spacing w:before="0" w:after="80" w:line="300" w:lineRule="auto"/>
        <w:ind w:left="540" w:hanging="274"/>
      </w:pPr>
      <w:r>
        <w:rPr>
          <w:rFonts w:ascii="Arial" w:hAnsi="Arial" w:eastAsia="微软雅黑"/>
          <w:b w:val="0"/>
          <w:i w:val="0"/>
          <w:color w:val="432C22"/>
          <w:sz w:val="21"/>
        </w:rPr>
        <w:t>后台：可独立完成模块、卡片、文案和资料的新增、编辑、删除、排序、预览、发布/下线；发布后前台展示正确。</w:t>
      </w:r>
    </w:p>
    <w:p w14:paraId="42460FC2">
      <w:pPr>
        <w:pStyle w:val="14"/>
        <w:spacing w:before="0" w:after="80" w:line="300" w:lineRule="auto"/>
        <w:ind w:left="540" w:hanging="274"/>
      </w:pPr>
      <w:r>
        <w:rPr>
          <w:rFonts w:ascii="Arial" w:hAnsi="Arial" w:eastAsia="微软雅黑"/>
          <w:b w:val="0"/>
          <w:i w:val="0"/>
          <w:color w:val="432C22"/>
          <w:sz w:val="21"/>
        </w:rPr>
        <w:t>稳定性：主流微信环境可正常打开和滚动；无阻断性报错、死链、无法上传或无法发布的问题。</w:t>
      </w:r>
    </w:p>
    <w:p w14:paraId="30B1D2C5">
      <w:pPr>
        <w:pStyle w:val="14"/>
        <w:spacing w:before="0" w:after="80" w:line="300" w:lineRule="auto"/>
        <w:ind w:left="540" w:hanging="274"/>
      </w:pPr>
      <w:r>
        <w:rPr>
          <w:rFonts w:ascii="Arial" w:hAnsi="Arial" w:eastAsia="微软雅黑"/>
          <w:b w:val="0"/>
          <w:i w:val="0"/>
          <w:color w:val="432C22"/>
          <w:sz w:val="21"/>
        </w:rPr>
        <w:t>交付：源代码、部署说明、后台使用说明、管理员权限和相关配置均已完整移交。</w:t>
      </w:r>
    </w:p>
    <w:p w14:paraId="5DD4A336">
      <w:pPr>
        <w:pStyle w:val="3"/>
        <w:spacing w:before="320" w:after="140" w:line="264" w:lineRule="auto"/>
      </w:pPr>
      <w:r>
        <w:rPr>
          <w:rFonts w:ascii="Arial" w:hAnsi="Arial" w:eastAsia="微软雅黑"/>
          <w:b/>
          <w:i w:val="0"/>
          <w:color w:val="875735"/>
          <w:sz w:val="32"/>
        </w:rPr>
        <w:t>8. 需在启动会确认的事项</w:t>
      </w:r>
    </w:p>
    <w:p w14:paraId="5E161176">
      <w:pPr>
        <w:pStyle w:val="16"/>
        <w:spacing w:before="0" w:after="80" w:line="300" w:lineRule="auto"/>
        <w:ind w:left="540" w:hanging="274"/>
      </w:pPr>
      <w:r>
        <w:rPr>
          <w:rFonts w:ascii="Arial" w:hAnsi="Arial" w:eastAsia="微软雅黑"/>
          <w:b w:val="0"/>
          <w:i w:val="0"/>
          <w:color w:val="432C22"/>
          <w:sz w:val="21"/>
        </w:rPr>
        <w:t>设计源文件是否完整交付；首页动画是否需要甲方提供动效参考或由供应商先出分镜。</w:t>
      </w:r>
    </w:p>
    <w:p w14:paraId="0FBFCB5A">
      <w:pPr>
        <w:pStyle w:val="16"/>
        <w:spacing w:before="0" w:after="80" w:line="300" w:lineRule="auto"/>
        <w:ind w:left="540" w:hanging="274"/>
      </w:pPr>
      <w:r>
        <w:rPr>
          <w:rFonts w:ascii="Arial" w:hAnsi="Arial" w:eastAsia="微软雅黑"/>
          <w:b w:val="0"/>
          <w:i w:val="0"/>
          <w:color w:val="432C22"/>
          <w:sz w:val="21"/>
        </w:rPr>
        <w:t>展开详情为页面内展开、弹层，还是新页面；报告查看采用在线预览、下载还是跳转外链。</w:t>
      </w:r>
    </w:p>
    <w:p w14:paraId="5F5ED20F">
      <w:pPr>
        <w:pStyle w:val="16"/>
        <w:spacing w:before="0" w:after="80" w:line="300" w:lineRule="auto"/>
        <w:ind w:left="540" w:hanging="274"/>
      </w:pPr>
      <w:r>
        <w:rPr>
          <w:rFonts w:ascii="Arial" w:hAnsi="Arial" w:eastAsia="微软雅黑"/>
          <w:b w:val="0"/>
          <w:i w:val="0"/>
          <w:color w:val="432C22"/>
          <w:sz w:val="21"/>
        </w:rPr>
        <w:t>首期模块数量、每模块的资料卡片数量、每条资料的最大文件体积及文件格式。</w:t>
      </w:r>
    </w:p>
    <w:p w14:paraId="47806CB5">
      <w:pPr>
        <w:pStyle w:val="16"/>
        <w:spacing w:before="0" w:after="80" w:line="300" w:lineRule="auto"/>
        <w:ind w:left="540" w:hanging="274"/>
      </w:pPr>
      <w:r>
        <w:rPr>
          <w:rFonts w:ascii="Arial" w:hAnsi="Arial" w:eastAsia="微软雅黑"/>
          <w:b w:val="0"/>
          <w:i w:val="0"/>
          <w:color w:val="432C22"/>
          <w:sz w:val="21"/>
        </w:rPr>
        <w:t>域名/服务器/对象存储/备案是否已具备；若未具备，供应商报价是否包含代部署与环境配置。</w:t>
      </w:r>
    </w:p>
    <w:p w14:paraId="41FEE2ED">
      <w:pPr>
        <w:pStyle w:val="16"/>
        <w:spacing w:before="0" w:after="80" w:line="300" w:lineRule="auto"/>
        <w:ind w:left="540" w:hanging="274"/>
      </w:pPr>
      <w:r>
        <w:rPr>
          <w:rFonts w:ascii="Arial" w:hAnsi="Arial" w:eastAsia="微软雅黑"/>
          <w:b w:val="0"/>
          <w:i w:val="0"/>
          <w:color w:val="432C22"/>
          <w:sz w:val="21"/>
        </w:rPr>
        <w:t>上线后维护期限、缺陷响应等级、是否包含埋点平台接入和数据看板。</w:t>
      </w:r>
    </w:p>
    <w:p w14:paraId="52436AB1">
      <w:r>
        <w:br w:type="page"/>
      </w:r>
    </w:p>
    <w:p w14:paraId="45F56F71">
      <w:pPr>
        <w:pStyle w:val="3"/>
        <w:spacing w:before="320" w:after="140" w:line="264" w:lineRule="auto"/>
      </w:pPr>
      <w:r>
        <w:rPr>
          <w:rFonts w:ascii="Arial" w:hAnsi="Arial" w:eastAsia="微软雅黑"/>
          <w:b/>
          <w:i w:val="0"/>
          <w:color w:val="875735"/>
          <w:sz w:val="32"/>
        </w:rPr>
        <w:t>附件 A：视觉参考</w:t>
      </w:r>
    </w:p>
    <w:p w14:paraId="2B226E2E">
      <w:pPr>
        <w:spacing w:before="0" w:after="200" w:line="300" w:lineRule="auto"/>
      </w:pPr>
      <w:r>
        <w:rPr>
          <w:rFonts w:ascii="Arial" w:hAnsi="Arial" w:eastAsia="微软雅黑"/>
          <w:b w:val="0"/>
          <w:i w:val="0"/>
          <w:color w:val="432C22"/>
          <w:sz w:val="21"/>
        </w:rPr>
        <w:t>以下截图仅用于说明本次开发的页面范围与交互重点；请以甲方后续提供的设计源文件为最终视觉还原依据。</w:t>
      </w:r>
    </w:p>
    <w:p w14:paraId="1D09126E">
      <w:pPr>
        <w:spacing w:before="0" w:after="80" w:line="300" w:lineRule="auto"/>
      </w:pPr>
      <w:r>
        <w:rPr>
          <w:rFonts w:ascii="Arial" w:hAnsi="Arial" w:eastAsia="微软雅黑"/>
          <w:b w:val="0"/>
          <w:i/>
          <w:color w:val="8C8176"/>
          <w:sz w:val="20"/>
        </w:rPr>
        <w:t xml:space="preserve">图 </w:t>
      </w:r>
      <w:r>
        <w:rPr>
          <w:rFonts w:hint="eastAsia" w:ascii="Arial" w:hAnsi="Arial"/>
          <w:b w:val="0"/>
          <w:i/>
          <w:color w:val="8C8176"/>
          <w:sz w:val="20"/>
          <w:lang w:val="en-US" w:eastAsia="zh-CN"/>
        </w:rPr>
        <w:t>1</w:t>
      </w:r>
      <w:r>
        <w:rPr>
          <w:rFonts w:ascii="Arial" w:hAnsi="Arial" w:eastAsia="微软雅黑"/>
          <w:b w:val="0"/>
          <w:i/>
          <w:color w:val="8C8176"/>
          <w:sz w:val="20"/>
        </w:rPr>
        <w:t>：总体设计稿与关键区域标注（红框：首页及</w:t>
      </w:r>
      <w:bookmarkStart w:id="0" w:name="_GoBack"/>
      <w:bookmarkEnd w:id="0"/>
      <w:r>
        <w:rPr>
          <w:rFonts w:ascii="Arial" w:hAnsi="Arial" w:eastAsia="微软雅黑"/>
          <w:b w:val="0"/>
          <w:i/>
          <w:color w:val="8C8176"/>
          <w:sz w:val="20"/>
        </w:rPr>
        <w:t>过场动画；绿框：可展开的信息模块）</w:t>
      </w:r>
    </w:p>
    <w:p w14:paraId="0829A772">
      <w:pPr>
        <w:jc w:val="center"/>
      </w:pPr>
      <w:r>
        <w:drawing>
          <wp:inline distT="0" distB="0" distL="114300" distR="114300">
            <wp:extent cx="1965960" cy="9274175"/>
            <wp:effectExtent l="0" t="0" r="152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927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CAAE">
      <w:pPr>
        <w:spacing w:before="160" w:after="80" w:line="300" w:lineRule="auto"/>
      </w:pPr>
      <w:r>
        <w:rPr>
          <w:rFonts w:ascii="Arial" w:hAnsi="Arial" w:eastAsia="微软雅黑"/>
          <w:b w:val="0"/>
          <w:i/>
          <w:color w:val="8C8176"/>
          <w:sz w:val="20"/>
        </w:rPr>
        <w:t xml:space="preserve">图 </w:t>
      </w:r>
      <w:r>
        <w:rPr>
          <w:rFonts w:hint="eastAsia" w:ascii="Arial" w:hAnsi="Arial"/>
          <w:b w:val="0"/>
          <w:i/>
          <w:color w:val="8C8176"/>
          <w:sz w:val="20"/>
          <w:lang w:val="en-US" w:eastAsia="zh-CN"/>
        </w:rPr>
        <w:t>2</w:t>
      </w:r>
      <w:r>
        <w:rPr>
          <w:rFonts w:ascii="Arial" w:hAnsi="Arial" w:eastAsia="微软雅黑"/>
          <w:b w:val="0"/>
          <w:i/>
          <w:color w:val="8C8176"/>
          <w:sz w:val="20"/>
        </w:rPr>
        <w:t>：信息模块展开后的资料卡片样式参考</w:t>
      </w:r>
    </w:p>
    <w:p w14:paraId="5DE4551B">
      <w:pPr>
        <w:jc w:val="center"/>
      </w:pPr>
      <w:r>
        <w:drawing>
          <wp:inline distT="0" distB="0" distL="114300" distR="114300">
            <wp:extent cx="2788920" cy="5116195"/>
            <wp:effectExtent l="0" t="0" r="1143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511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5" w:type="default"/>
      <w:pgSz w:w="12240" w:h="15840"/>
      <w:pgMar w:top="1080" w:right="1224" w:bottom="1008" w:left="1224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7C64D7">
    <w:pPr>
      <w:pStyle w:val="24"/>
      <w:spacing w:before="0" w:after="0" w:line="240" w:lineRule="auto"/>
      <w:jc w:val="right"/>
    </w:pPr>
    <w:r>
      <w:rPr>
        <w:rFonts w:ascii="Arial" w:hAnsi="Arial" w:eastAsia="微软雅黑"/>
        <w:b w:val="0"/>
        <w:i w:val="0"/>
        <w:color w:val="8C8176"/>
        <w:sz w:val="17"/>
      </w:rPr>
      <w:t>诚实</w:t>
    </w:r>
    <w:r>
      <w:rPr>
        <w:rFonts w:hint="eastAsia" w:ascii="Arial" w:hAnsi="Arial"/>
        <w:b w:val="0"/>
        <w:i w:val="0"/>
        <w:color w:val="8C8176"/>
        <w:sz w:val="17"/>
        <w:lang w:eastAsia="zh-CN"/>
      </w:rPr>
      <w:t>纽雀</w:t>
    </w:r>
    <w:r>
      <w:rPr>
        <w:rFonts w:ascii="Arial" w:hAnsi="Arial" w:eastAsia="微软雅黑"/>
        <w:b w:val="0"/>
        <w:i w:val="0"/>
        <w:color w:val="8C8176"/>
        <w:sz w:val="17"/>
      </w:rPr>
      <w:t xml:space="preserve"> | H5 制作需求书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0C0EB2"/>
    <w:rsid w:val="15EC2259"/>
    <w:rsid w:val="195425EF"/>
    <w:rsid w:val="20D364EF"/>
    <w:rsid w:val="32E75E2A"/>
    <w:rsid w:val="35E548A3"/>
    <w:rsid w:val="39C96289"/>
    <w:rsid w:val="640C1457"/>
    <w:rsid w:val="6A771266"/>
    <w:rsid w:val="6AB91A72"/>
    <w:rsid w:val="764C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3013</Words>
  <Characters>3138</Characters>
  <Lines>0</Lines>
  <Paragraphs>0</Paragraphs>
  <TotalTime>3</TotalTime>
  <ScaleCrop>false</ScaleCrop>
  <LinksUpToDate>false</LinksUpToDate>
  <CharactersWithSpaces>3231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诚实纽崔</dc:creator>
  <dc:description>generated by python-docx</dc:description>
  <cp:lastModifiedBy>-Ming.</cp:lastModifiedBy>
  <dcterms:modified xsi:type="dcterms:W3CDTF">2026-07-31T04:52:07Z</dcterms:modified>
  <dc:subject>外部供应商 H5 制作与后台管理需求</dc:subject>
  <dc:title>诚实纽崔 首页检测报告 H5 制作需求书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eyJoZGlkIjoiYzI1MGY5ZThjZjFlMjc1MzIwYzg2MzUxY2ViZDM0ZTQiLCJ1c2VySWQiOiIyMjY5NzI0MzQifQ==</vt:lpwstr>
  </property>
  <property fmtid="{D5CDD505-2E9C-101B-9397-08002B2CF9AE}" pid="3" name="KSOProductBuildVer">
    <vt:lpwstr>2052-12.1.0.26884</vt:lpwstr>
  </property>
  <property fmtid="{D5CDD505-2E9C-101B-9397-08002B2CF9AE}" pid="4" name="ICV">
    <vt:lpwstr>2243869C504F4AA7A13F3C4D322E31B6_12</vt:lpwstr>
  </property>
</Properties>
</file>